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jc w:val="center"/>
        <w:tblLook w:val="01E0" w:firstRow="1" w:lastRow="1" w:firstColumn="1" w:lastColumn="1" w:noHBand="0" w:noVBand="0"/>
      </w:tblPr>
      <w:tblGrid>
        <w:gridCol w:w="4188"/>
        <w:gridCol w:w="6237"/>
      </w:tblGrid>
      <w:tr w:rsidR="00492C3B" w:rsidRPr="001338E8" w14:paraId="1A37AED3" w14:textId="77777777" w:rsidTr="00C00158">
        <w:trPr>
          <w:jc w:val="center"/>
        </w:trPr>
        <w:tc>
          <w:tcPr>
            <w:tcW w:w="4188" w:type="dxa"/>
            <w:shd w:val="clear" w:color="auto" w:fill="auto"/>
          </w:tcPr>
          <w:p w14:paraId="0750C618" w14:textId="0D10D995" w:rsidR="00306A90" w:rsidRPr="001338E8" w:rsidRDefault="00306A90" w:rsidP="00306A90">
            <w:pPr>
              <w:jc w:val="center"/>
              <w:rPr>
                <w:b/>
                <w:sz w:val="26"/>
                <w:szCs w:val="26"/>
              </w:rPr>
            </w:pPr>
            <w:r w:rsidRPr="001338E8">
              <w:rPr>
                <w:b/>
                <w:sz w:val="26"/>
                <w:szCs w:val="26"/>
              </w:rPr>
              <w:t>ỦY BAN NHÂN DÂN</w:t>
            </w:r>
          </w:p>
          <w:p w14:paraId="40CC3DCB" w14:textId="77777777" w:rsidR="00142936" w:rsidRPr="001338E8" w:rsidRDefault="00142936" w:rsidP="00306A90">
            <w:pPr>
              <w:jc w:val="center"/>
              <w:rPr>
                <w:b/>
                <w:sz w:val="26"/>
                <w:szCs w:val="26"/>
              </w:rPr>
            </w:pPr>
            <w:r w:rsidRPr="001338E8">
              <w:rPr>
                <w:b/>
                <w:sz w:val="26"/>
                <w:szCs w:val="26"/>
              </w:rPr>
              <w:t xml:space="preserve"> TỈNH TRÀ VINH</w:t>
            </w:r>
          </w:p>
          <w:p w14:paraId="766B5BA0" w14:textId="77777777" w:rsidR="00142936" w:rsidRPr="001338E8" w:rsidRDefault="00283713" w:rsidP="00283713">
            <w:pPr>
              <w:spacing w:before="120"/>
              <w:jc w:val="center"/>
              <w:rPr>
                <w:sz w:val="26"/>
                <w:szCs w:val="26"/>
              </w:rPr>
            </w:pPr>
            <w:r w:rsidRPr="001338E8">
              <w:rPr>
                <w:noProof/>
                <w:sz w:val="26"/>
                <w:szCs w:val="26"/>
              </w:rPr>
              <mc:AlternateContent>
                <mc:Choice Requires="wps">
                  <w:drawing>
                    <wp:anchor distT="0" distB="0" distL="114300" distR="114300" simplePos="0" relativeHeight="251659264" behindDoc="0" locked="0" layoutInCell="1" allowOverlap="1" wp14:anchorId="6A9C9CD6" wp14:editId="1539AEF6">
                      <wp:simplePos x="0" y="0"/>
                      <wp:positionH relativeFrom="column">
                        <wp:posOffset>964565</wp:posOffset>
                      </wp:positionH>
                      <wp:positionV relativeFrom="paragraph">
                        <wp:posOffset>7620</wp:posOffset>
                      </wp:positionV>
                      <wp:extent cx="561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59380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95pt,.6pt" to="12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" strokecolor="#4579b8 [3044]"/>
                  </w:pict>
                </mc:Fallback>
              </mc:AlternateContent>
            </w:r>
            <w:r w:rsidR="00306A90" w:rsidRPr="001338E8">
              <w:rPr>
                <w:sz w:val="26"/>
                <w:szCs w:val="26"/>
              </w:rPr>
              <w:t xml:space="preserve">Số: </w:t>
            </w:r>
            <w:r w:rsidR="007C7015" w:rsidRPr="001338E8">
              <w:rPr>
                <w:sz w:val="26"/>
                <w:szCs w:val="26"/>
              </w:rPr>
              <w:t xml:space="preserve">        </w:t>
            </w:r>
            <w:r w:rsidR="00306A90" w:rsidRPr="001338E8">
              <w:rPr>
                <w:sz w:val="26"/>
                <w:szCs w:val="26"/>
              </w:rPr>
              <w:t>/TTr-UBND</w:t>
            </w:r>
          </w:p>
          <w:p w14:paraId="0FA702E3" w14:textId="156061E3" w:rsidR="007C7015" w:rsidRPr="001338E8" w:rsidRDefault="00D612D0" w:rsidP="007C7015">
            <w:pPr>
              <w:jc w:val="center"/>
              <w:rPr>
                <w:b/>
                <w:sz w:val="24"/>
                <w:szCs w:val="24"/>
              </w:rPr>
            </w:pPr>
            <w:r w:rsidRPr="001338E8">
              <w:rPr>
                <w:b/>
                <w:sz w:val="24"/>
                <w:szCs w:val="24"/>
              </w:rPr>
              <w:t>(DỰ THẢO)</w:t>
            </w:r>
          </w:p>
        </w:tc>
        <w:tc>
          <w:tcPr>
            <w:tcW w:w="6237" w:type="dxa"/>
            <w:shd w:val="clear" w:color="auto" w:fill="auto"/>
          </w:tcPr>
          <w:p w14:paraId="15267863" w14:textId="77777777" w:rsidR="00142936" w:rsidRPr="001338E8" w:rsidRDefault="00142936" w:rsidP="00306A90">
            <w:pPr>
              <w:jc w:val="center"/>
              <w:rPr>
                <w:b/>
                <w:sz w:val="26"/>
                <w:szCs w:val="26"/>
              </w:rPr>
            </w:pPr>
            <w:r w:rsidRPr="001338E8">
              <w:rPr>
                <w:b/>
                <w:sz w:val="26"/>
                <w:szCs w:val="26"/>
              </w:rPr>
              <w:t>CỘNG HÒA XÃ HỘI CHỦ NGHĨA VIỆT NAM</w:t>
            </w:r>
          </w:p>
          <w:p w14:paraId="7FE53119" w14:textId="77777777" w:rsidR="00142936" w:rsidRPr="001338E8" w:rsidRDefault="00142936" w:rsidP="00306A90">
            <w:pPr>
              <w:jc w:val="center"/>
              <w:rPr>
                <w:b/>
              </w:rPr>
            </w:pPr>
            <w:r w:rsidRPr="001338E8">
              <w:rPr>
                <w:b/>
              </w:rPr>
              <w:t>Độc lập - Tự do - Hạnh phúc</w:t>
            </w:r>
          </w:p>
          <w:p w14:paraId="169982B2" w14:textId="790144E6" w:rsidR="00142936" w:rsidRPr="001338E8" w:rsidRDefault="00283713" w:rsidP="00F62E70">
            <w:pPr>
              <w:spacing w:before="120"/>
              <w:jc w:val="center"/>
              <w:rPr>
                <w:i/>
              </w:rPr>
            </w:pPr>
            <w:r w:rsidRPr="001338E8">
              <w:rPr>
                <w:noProof/>
              </w:rPr>
              <mc:AlternateContent>
                <mc:Choice Requires="wps">
                  <w:drawing>
                    <wp:anchor distT="0" distB="0" distL="114300" distR="114300" simplePos="0" relativeHeight="251657216" behindDoc="0" locked="0" layoutInCell="1" allowOverlap="1" wp14:anchorId="60F9D873" wp14:editId="6BF19FBF">
                      <wp:simplePos x="0" y="0"/>
                      <wp:positionH relativeFrom="column">
                        <wp:posOffset>791210</wp:posOffset>
                      </wp:positionH>
                      <wp:positionV relativeFrom="paragraph">
                        <wp:posOffset>7620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99A6E8" id="Straight Connector 1"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pt,.6pt" to="23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" strokecolor="#4579b8 [3044]"/>
                  </w:pict>
                </mc:Fallback>
              </mc:AlternateContent>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softHyphen/>
            </w:r>
            <w:r w:rsidR="00142936" w:rsidRPr="001338E8">
              <w:rPr>
                <w:i/>
              </w:rPr>
              <w:t xml:space="preserve">    </w:t>
            </w:r>
            <w:r w:rsidR="00142936" w:rsidRPr="001338E8">
              <w:rPr>
                <w:i/>
                <w:sz w:val="26"/>
                <w:szCs w:val="26"/>
              </w:rPr>
              <w:t xml:space="preserve">Trà Vinh, ngày </w:t>
            </w:r>
            <w:r w:rsidR="007C7015" w:rsidRPr="001338E8">
              <w:rPr>
                <w:i/>
                <w:sz w:val="26"/>
                <w:szCs w:val="26"/>
              </w:rPr>
              <w:t xml:space="preserve">      </w:t>
            </w:r>
            <w:r w:rsidR="00142936" w:rsidRPr="001338E8">
              <w:rPr>
                <w:i/>
                <w:sz w:val="26"/>
                <w:szCs w:val="26"/>
              </w:rPr>
              <w:t xml:space="preserve">tháng </w:t>
            </w:r>
            <w:r w:rsidR="007C7015" w:rsidRPr="001338E8">
              <w:rPr>
                <w:i/>
                <w:sz w:val="26"/>
                <w:szCs w:val="26"/>
              </w:rPr>
              <w:t xml:space="preserve">    </w:t>
            </w:r>
            <w:r w:rsidR="00142936" w:rsidRPr="001338E8">
              <w:rPr>
                <w:i/>
                <w:sz w:val="26"/>
                <w:szCs w:val="26"/>
              </w:rPr>
              <w:t xml:space="preserve"> năm </w:t>
            </w:r>
            <w:r w:rsidR="00711EA5" w:rsidRPr="001338E8">
              <w:rPr>
                <w:i/>
                <w:sz w:val="26"/>
                <w:szCs w:val="26"/>
              </w:rPr>
              <w:t>202</w:t>
            </w:r>
            <w:r w:rsidR="00F62E70">
              <w:rPr>
                <w:i/>
                <w:sz w:val="26"/>
                <w:szCs w:val="26"/>
              </w:rPr>
              <w:t>3</w:t>
            </w:r>
          </w:p>
        </w:tc>
      </w:tr>
    </w:tbl>
    <w:p w14:paraId="653A850E" w14:textId="77777777" w:rsidR="0066728A" w:rsidRPr="001338E8" w:rsidRDefault="0066728A" w:rsidP="004664AA">
      <w:pPr>
        <w:spacing w:before="120"/>
        <w:jc w:val="center"/>
        <w:rPr>
          <w:b/>
          <w:sz w:val="8"/>
          <w:szCs w:val="8"/>
        </w:rPr>
      </w:pPr>
    </w:p>
    <w:p w14:paraId="110F50F7" w14:textId="77777777" w:rsidR="00142936" w:rsidRPr="001338E8" w:rsidRDefault="00142936" w:rsidP="004664AA">
      <w:pPr>
        <w:spacing w:before="120"/>
        <w:jc w:val="center"/>
        <w:rPr>
          <w:b/>
        </w:rPr>
      </w:pPr>
      <w:r w:rsidRPr="001338E8">
        <w:rPr>
          <w:b/>
        </w:rPr>
        <w:t>TỜ TRÌNH</w:t>
      </w:r>
    </w:p>
    <w:p w14:paraId="5F918064" w14:textId="31E22AED" w:rsidR="00711EA5" w:rsidRPr="001338E8" w:rsidRDefault="0011083B" w:rsidP="0011083B">
      <w:pPr>
        <w:jc w:val="center"/>
        <w:rPr>
          <w:b/>
        </w:rPr>
      </w:pPr>
      <w:r w:rsidRPr="001338E8">
        <w:rPr>
          <w:b/>
        </w:rPr>
        <w:t xml:space="preserve">Ban hành </w:t>
      </w:r>
      <w:r w:rsidR="00F62E70">
        <w:rPr>
          <w:b/>
        </w:rPr>
        <w:t>Nghị quyết sửa đổi khoản 3 Điều 1 Nghị quyết số 21/2021/N</w:t>
      </w:r>
      <w:r w:rsidR="00D27425">
        <w:rPr>
          <w:b/>
        </w:rPr>
        <w:t>Q</w:t>
      </w:r>
      <w:r w:rsidR="00F62E70">
        <w:rPr>
          <w:b/>
        </w:rPr>
        <w:t>-HĐND ngày 09/12/2021 của Hội đồng nhân dân tỉnh quy định các loại phí thuộc lĩnh vực môi trường trên địa bàn tỉnh Trà Vinh</w:t>
      </w:r>
    </w:p>
    <w:p w14:paraId="6BF75D35" w14:textId="77777777" w:rsidR="007C7015" w:rsidRPr="001338E8" w:rsidRDefault="007C7015" w:rsidP="00B1414C">
      <w:pPr>
        <w:jc w:val="center"/>
        <w:rPr>
          <w:bCs/>
        </w:rPr>
      </w:pPr>
      <w:r w:rsidRPr="001338E8">
        <w:rPr>
          <w:b/>
          <w:noProof/>
        </w:rPr>
        <mc:AlternateContent>
          <mc:Choice Requires="wps">
            <w:drawing>
              <wp:anchor distT="4294967295" distB="4294967295" distL="114300" distR="114300" simplePos="0" relativeHeight="251656192" behindDoc="0" locked="0" layoutInCell="1" allowOverlap="1" wp14:anchorId="2F8A58C6" wp14:editId="6EDA4284">
                <wp:simplePos x="0" y="0"/>
                <wp:positionH relativeFrom="column">
                  <wp:posOffset>1961211</wp:posOffset>
                </wp:positionH>
                <wp:positionV relativeFrom="paragraph">
                  <wp:posOffset>10795</wp:posOffset>
                </wp:positionV>
                <wp:extent cx="2009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4.45pt,.85pt" to="31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" strokecolor="black [3040]">
                <o:lock v:ext="edit" shapetype="f"/>
              </v:line>
            </w:pict>
          </mc:Fallback>
        </mc:AlternateContent>
      </w:r>
    </w:p>
    <w:p w14:paraId="5494D55B" w14:textId="50E4B1D7" w:rsidR="00142936" w:rsidRPr="001338E8" w:rsidRDefault="00490FE9" w:rsidP="00490FE9">
      <w:pPr>
        <w:spacing w:before="60" w:after="60"/>
        <w:ind w:firstLine="720"/>
        <w:jc w:val="center"/>
      </w:pPr>
      <w:r w:rsidRPr="001338E8">
        <w:t>Kính gửi: Hội đồng nhân dân tỉnh khóa</w:t>
      </w:r>
      <w:r w:rsidR="00401AB9" w:rsidRPr="001338E8">
        <w:t xml:space="preserve"> X,</w:t>
      </w:r>
      <w:r w:rsidRPr="001338E8">
        <w:t xml:space="preserve"> kỳ </w:t>
      </w:r>
      <w:r w:rsidR="004A408C" w:rsidRPr="001338E8">
        <w:t xml:space="preserve">Họp </w:t>
      </w:r>
      <w:r w:rsidRPr="001338E8">
        <w:t xml:space="preserve">thứ </w:t>
      </w:r>
      <w:r w:rsidR="00B21D5D" w:rsidRPr="001338E8">
        <w:t>…</w:t>
      </w:r>
    </w:p>
    <w:p w14:paraId="6CC9F57F" w14:textId="77777777" w:rsidR="00490FE9" w:rsidRPr="001338E8" w:rsidRDefault="00490FE9" w:rsidP="00142936">
      <w:pPr>
        <w:spacing w:before="60" w:after="60"/>
        <w:ind w:firstLine="720"/>
        <w:jc w:val="both"/>
        <w:rPr>
          <w:sz w:val="16"/>
          <w:szCs w:val="16"/>
        </w:rPr>
      </w:pPr>
    </w:p>
    <w:p w14:paraId="46BAD5AE" w14:textId="77777777" w:rsidR="008355F1" w:rsidRPr="001338E8" w:rsidRDefault="008355F1" w:rsidP="008355F1">
      <w:pPr>
        <w:pStyle w:val="NormalWeb"/>
        <w:shd w:val="clear" w:color="auto" w:fill="FFFFFF"/>
        <w:spacing w:before="120" w:after="120" w:line="234" w:lineRule="atLeast"/>
        <w:ind w:firstLine="720"/>
        <w:jc w:val="both"/>
        <w:rPr>
          <w:i/>
          <w:iCs/>
          <w:sz w:val="28"/>
          <w:szCs w:val="28"/>
        </w:rPr>
      </w:pPr>
      <w:r w:rsidRPr="001338E8">
        <w:rPr>
          <w:i/>
          <w:iCs/>
          <w:sz w:val="28"/>
          <w:szCs w:val="28"/>
        </w:rPr>
        <w:t xml:space="preserve">Căn cứ Luật Tổ chức chính quyền địa phương ngày 19 tháng 6 năm 2015; </w:t>
      </w:r>
    </w:p>
    <w:p w14:paraId="08A44C41" w14:textId="77777777" w:rsidR="008355F1" w:rsidRPr="001338E8" w:rsidRDefault="008355F1" w:rsidP="008355F1">
      <w:pPr>
        <w:pStyle w:val="NormalWeb"/>
        <w:shd w:val="clear" w:color="auto" w:fill="FFFFFF"/>
        <w:spacing w:before="120" w:after="120" w:line="234" w:lineRule="atLeast"/>
        <w:ind w:firstLine="720"/>
        <w:jc w:val="both"/>
        <w:rPr>
          <w:sz w:val="28"/>
          <w:szCs w:val="28"/>
        </w:rPr>
      </w:pPr>
      <w:r w:rsidRPr="001338E8">
        <w:rPr>
          <w:i/>
          <w:iCs/>
          <w:sz w:val="28"/>
          <w:szCs w:val="28"/>
        </w:rPr>
        <w:t>Căn cứ Luật Sửa đổi, bổ sung một số điều của Luật Tổ chức Chính phủ và Luật Tổ chức chính quyền địa phương ngày 22 tháng 11 năm 2019;</w:t>
      </w:r>
    </w:p>
    <w:p w14:paraId="220E1D80" w14:textId="77777777" w:rsidR="008355F1" w:rsidRPr="001338E8" w:rsidRDefault="008355F1" w:rsidP="008355F1">
      <w:pPr>
        <w:pStyle w:val="NormalWeb"/>
        <w:shd w:val="clear" w:color="auto" w:fill="FFFFFF"/>
        <w:spacing w:before="120" w:after="120" w:line="234" w:lineRule="atLeast"/>
        <w:ind w:firstLine="720"/>
        <w:jc w:val="both"/>
        <w:rPr>
          <w:i/>
          <w:iCs/>
          <w:sz w:val="28"/>
          <w:szCs w:val="28"/>
        </w:rPr>
      </w:pPr>
      <w:r w:rsidRPr="001338E8">
        <w:rPr>
          <w:i/>
          <w:iCs/>
          <w:sz w:val="28"/>
          <w:szCs w:val="28"/>
        </w:rPr>
        <w:t>Căn cứ Luật Ban hành văn bản quy phạm pháp luật ngày 22 tháng 6 năm 2015;</w:t>
      </w:r>
    </w:p>
    <w:p w14:paraId="128E80B5" w14:textId="77777777" w:rsidR="008355F1" w:rsidRPr="001338E8" w:rsidRDefault="008355F1" w:rsidP="008355F1">
      <w:pPr>
        <w:pStyle w:val="NormalWeb"/>
        <w:shd w:val="clear" w:color="auto" w:fill="FFFFFF"/>
        <w:spacing w:before="120" w:after="120" w:line="234" w:lineRule="atLeast"/>
        <w:ind w:firstLine="720"/>
        <w:jc w:val="both"/>
      </w:pPr>
      <w:r w:rsidRPr="001338E8">
        <w:rPr>
          <w:i/>
          <w:iCs/>
          <w:sz w:val="28"/>
          <w:szCs w:val="28"/>
        </w:rPr>
        <w:t>Căn cứ Luật Sửa đổi, bổ sung một số điều của Luật Ban hành văn bản quy phạm pháp luật ngày 18 tháng 6 năm 2020;</w:t>
      </w:r>
    </w:p>
    <w:p w14:paraId="7FEC64FC" w14:textId="77777777" w:rsidR="008355F1" w:rsidRPr="001338E8" w:rsidRDefault="008355F1" w:rsidP="008355F1">
      <w:pPr>
        <w:spacing w:before="120" w:after="120"/>
        <w:ind w:firstLine="720"/>
        <w:jc w:val="both"/>
        <w:rPr>
          <w:i/>
          <w:iCs/>
        </w:rPr>
      </w:pPr>
      <w:r w:rsidRPr="001338E8">
        <w:rPr>
          <w:i/>
          <w:iCs/>
        </w:rPr>
        <w:t>Căn cứ Luật Phí, lệ phí ngày 25 tháng 11 năm 2015;</w:t>
      </w:r>
    </w:p>
    <w:p w14:paraId="2AEB1175" w14:textId="77777777" w:rsidR="008355F1" w:rsidRPr="001338E8" w:rsidRDefault="008355F1" w:rsidP="008355F1">
      <w:pPr>
        <w:spacing w:before="120" w:after="120"/>
        <w:ind w:firstLine="720"/>
        <w:jc w:val="both"/>
      </w:pPr>
      <w:r w:rsidRPr="001338E8">
        <w:rPr>
          <w:i/>
          <w:iCs/>
        </w:rPr>
        <w:t>Căn cứ Luật Bảo vệ môi trường ngày 17 tháng 11 năm 2020;</w:t>
      </w:r>
    </w:p>
    <w:p w14:paraId="17097D5D" w14:textId="77777777" w:rsidR="008355F1" w:rsidRPr="001338E8" w:rsidRDefault="008355F1" w:rsidP="008355F1">
      <w:pPr>
        <w:spacing w:before="120" w:after="120"/>
        <w:ind w:firstLine="720"/>
        <w:jc w:val="both"/>
      </w:pPr>
      <w:r w:rsidRPr="001338E8">
        <w:rPr>
          <w:i/>
          <w:iCs/>
        </w:rPr>
        <w:t>Căn cứ Nghị định số 120/2016/NĐ-CP ngày 23 tháng 8 năm 2016 của Chính phủ quy định chi tiết thi hành một số điều của Luật phí và lệ phí;</w:t>
      </w:r>
    </w:p>
    <w:p w14:paraId="6F5697A7" w14:textId="77777777" w:rsidR="008355F1" w:rsidRPr="001338E8" w:rsidRDefault="008355F1" w:rsidP="008355F1">
      <w:pPr>
        <w:spacing w:before="120" w:after="120"/>
        <w:ind w:firstLine="720"/>
        <w:jc w:val="both"/>
      </w:pPr>
      <w:r w:rsidRPr="001338E8">
        <w:rPr>
          <w:i/>
          <w:iCs/>
        </w:rPr>
        <w:t>Căn cứ Thông tư số 85/2019/TT-BTC ngày 29 tháng 11 năm 2019 của Bộ trưởng Bộ Tài chính hướng dẫn về phí và lệ phí thuộc thẩm quyền quyết định của Hội đồng nhân dân tỉnh, thành phố trực thuộc Trung ương;</w:t>
      </w:r>
    </w:p>
    <w:p w14:paraId="60848FF4" w14:textId="12B960EC" w:rsidR="00021024" w:rsidRPr="001338E8" w:rsidRDefault="00EB733A" w:rsidP="00021024">
      <w:pPr>
        <w:spacing w:before="120" w:after="120"/>
        <w:ind w:firstLine="709"/>
        <w:jc w:val="both"/>
        <w:rPr>
          <w:b/>
          <w:bCs/>
          <w:iCs/>
        </w:rPr>
      </w:pPr>
      <w:r w:rsidRPr="001338E8">
        <w:rPr>
          <w:b/>
          <w:bCs/>
          <w:iCs/>
        </w:rPr>
        <w:t>1. Tổng quan về Nghị quyết:</w:t>
      </w:r>
    </w:p>
    <w:p w14:paraId="58937561" w14:textId="20E0E5FC" w:rsidR="00021024" w:rsidRPr="001338E8" w:rsidRDefault="005B135C" w:rsidP="0011083B">
      <w:pPr>
        <w:tabs>
          <w:tab w:val="left" w:pos="720"/>
        </w:tabs>
        <w:spacing w:before="120" w:after="120"/>
        <w:ind w:firstLine="720"/>
        <w:jc w:val="both"/>
        <w:rPr>
          <w:iCs/>
        </w:rPr>
      </w:pPr>
      <w:r w:rsidRPr="005B135C">
        <w:rPr>
          <w:iCs/>
        </w:rPr>
        <w:t>Nghị quyết sửa đổi khoản 3 Điều 1 Nghị quyết số 21/2021/N</w:t>
      </w:r>
      <w:r w:rsidR="00D27425">
        <w:rPr>
          <w:iCs/>
        </w:rPr>
        <w:t>Q</w:t>
      </w:r>
      <w:r w:rsidRPr="005B135C">
        <w:rPr>
          <w:iCs/>
        </w:rPr>
        <w:t>-HĐND ngày 09/12/2021 của Hội đồng nhân dân tỉnh quy định các loại phí thuộc lĩnh vực môi trường trên địa bàn tỉnh Trà Vinh</w:t>
      </w:r>
      <w:r w:rsidR="00021024" w:rsidRPr="001338E8">
        <w:rPr>
          <w:iCs/>
        </w:rPr>
        <w:t>, bao gồm:</w:t>
      </w:r>
      <w:r w:rsidR="00BA0EFD">
        <w:rPr>
          <w:iCs/>
        </w:rPr>
        <w:t xml:space="preserve"> </w:t>
      </w:r>
    </w:p>
    <w:p w14:paraId="2C0B001A" w14:textId="47BDA58E" w:rsidR="00021024" w:rsidRPr="001338E8" w:rsidRDefault="00021024" w:rsidP="00021024">
      <w:pPr>
        <w:tabs>
          <w:tab w:val="left" w:pos="720"/>
        </w:tabs>
        <w:spacing w:before="120" w:after="120"/>
        <w:ind w:firstLine="720"/>
        <w:jc w:val="both"/>
        <w:rPr>
          <w:b/>
          <w:bCs/>
          <w:iCs/>
        </w:rPr>
      </w:pPr>
      <w:r w:rsidRPr="001338E8">
        <w:rPr>
          <w:i/>
        </w:rPr>
        <w:t xml:space="preserve">- Sở Tài nguyên và Môi trường là đơn vị thu, nộp và quản lý sử dụng </w:t>
      </w:r>
      <w:r w:rsidR="00D411B7" w:rsidRPr="001338E8">
        <w:rPr>
          <w:b/>
          <w:bCs/>
          <w:i/>
        </w:rPr>
        <w:t>0</w:t>
      </w:r>
      <w:r w:rsidR="00BA0EFD">
        <w:rPr>
          <w:b/>
          <w:bCs/>
          <w:i/>
        </w:rPr>
        <w:t>1</w:t>
      </w:r>
      <w:r w:rsidRPr="001338E8">
        <w:rPr>
          <w:b/>
          <w:bCs/>
          <w:i/>
        </w:rPr>
        <w:t xml:space="preserve"> </w:t>
      </w:r>
      <w:r w:rsidRPr="001338E8">
        <w:rPr>
          <w:i/>
        </w:rPr>
        <w:t>loại phí là:</w:t>
      </w:r>
      <w:r w:rsidR="00D411B7" w:rsidRPr="001338E8">
        <w:rPr>
          <w:b/>
          <w:bCs/>
          <w:iCs/>
        </w:rPr>
        <w:t xml:space="preserve"> </w:t>
      </w:r>
      <w:r w:rsidR="00442F13" w:rsidRPr="001338E8">
        <w:rPr>
          <w:b/>
          <w:bCs/>
          <w:iCs/>
        </w:rPr>
        <w:t xml:space="preserve">Phí thẩm định cấp, cấp đổi, cấp điều chỉnh, cấp lại giấy phép môi trường </w:t>
      </w:r>
      <w:r w:rsidR="00590C25" w:rsidRPr="001338E8">
        <w:rPr>
          <w:b/>
          <w:bCs/>
          <w:iCs/>
        </w:rPr>
        <w:t>cấp tỉnh</w:t>
      </w:r>
      <w:r w:rsidR="00442F13" w:rsidRPr="001338E8">
        <w:rPr>
          <w:b/>
          <w:bCs/>
          <w:iCs/>
        </w:rPr>
        <w:t>.</w:t>
      </w:r>
    </w:p>
    <w:p w14:paraId="21063667" w14:textId="01472DF1" w:rsidR="00EB733A" w:rsidRPr="001338E8" w:rsidRDefault="00495291" w:rsidP="00AA0439">
      <w:pPr>
        <w:tabs>
          <w:tab w:val="left" w:pos="720"/>
        </w:tabs>
        <w:spacing w:before="120" w:after="120"/>
        <w:ind w:firstLine="720"/>
        <w:jc w:val="both"/>
        <w:rPr>
          <w:iCs/>
        </w:rPr>
      </w:pPr>
      <w:r w:rsidRPr="001338E8">
        <w:rPr>
          <w:i/>
        </w:rPr>
        <w:t xml:space="preserve">- Phòng Tài nguyên và Môi trường là đơn vị thu, nộp và quản lý sử dụng </w:t>
      </w:r>
      <w:r w:rsidRPr="001338E8">
        <w:rPr>
          <w:b/>
          <w:bCs/>
          <w:i/>
        </w:rPr>
        <w:t xml:space="preserve">01 </w:t>
      </w:r>
      <w:r w:rsidRPr="001338E8">
        <w:rPr>
          <w:i/>
        </w:rPr>
        <w:t xml:space="preserve">loại phí là: </w:t>
      </w:r>
      <w:r w:rsidR="00442F13" w:rsidRPr="001338E8">
        <w:rPr>
          <w:b/>
          <w:bCs/>
          <w:iCs/>
        </w:rPr>
        <w:t>Phí thẩm định cấp, cấp đổi, cấp điều chỉnh, cấp lại giấy phép môi trường</w:t>
      </w:r>
      <w:r w:rsidRPr="001338E8">
        <w:rPr>
          <w:b/>
        </w:rPr>
        <w:t xml:space="preserve"> cấp huyện.</w:t>
      </w:r>
    </w:p>
    <w:p w14:paraId="76EF1ABC" w14:textId="359CA23B" w:rsidR="00021024" w:rsidRPr="001338E8" w:rsidRDefault="00021024" w:rsidP="00021024">
      <w:pPr>
        <w:spacing w:before="120" w:after="120"/>
        <w:ind w:left="131" w:firstLine="720"/>
        <w:jc w:val="both"/>
      </w:pPr>
      <w:r w:rsidRPr="001338E8">
        <w:rPr>
          <w:b/>
        </w:rPr>
        <w:t>2. S</w:t>
      </w:r>
      <w:r w:rsidR="00223A23" w:rsidRPr="001338E8">
        <w:rPr>
          <w:b/>
        </w:rPr>
        <w:t>ự cần thiết ban hành Nghị quyết:</w:t>
      </w:r>
    </w:p>
    <w:p w14:paraId="77F744B1" w14:textId="49E6E710" w:rsidR="00DF50E8" w:rsidRPr="00D5185D" w:rsidRDefault="00DF50E8" w:rsidP="00DF50E8">
      <w:pPr>
        <w:tabs>
          <w:tab w:val="left" w:pos="0"/>
        </w:tabs>
        <w:spacing w:before="120" w:after="120"/>
        <w:ind w:right="74" w:firstLine="720"/>
        <w:jc w:val="both"/>
        <w:rPr>
          <w:b/>
          <w:iCs/>
          <w:sz w:val="26"/>
          <w:szCs w:val="26"/>
        </w:rPr>
      </w:pPr>
      <w:r w:rsidRPr="00124404">
        <w:rPr>
          <w:iCs/>
          <w:sz w:val="26"/>
          <w:szCs w:val="26"/>
        </w:rPr>
        <w:t>UBND tỉnh</w:t>
      </w:r>
      <w:r w:rsidR="0020167A">
        <w:rPr>
          <w:iCs/>
          <w:sz w:val="26"/>
          <w:szCs w:val="26"/>
        </w:rPr>
        <w:t xml:space="preserve"> đã</w:t>
      </w:r>
      <w:r w:rsidRPr="00124404">
        <w:rPr>
          <w:iCs/>
          <w:sz w:val="26"/>
          <w:szCs w:val="26"/>
        </w:rPr>
        <w:t xml:space="preserve"> trình Hội đồng nhân dân tỉnh ban hành</w:t>
      </w:r>
      <w:r w:rsidRPr="00124404">
        <w:rPr>
          <w:sz w:val="26"/>
          <w:szCs w:val="26"/>
        </w:rPr>
        <w:t xml:space="preserve"> </w:t>
      </w:r>
      <w:r w:rsidRPr="00124404">
        <w:rPr>
          <w:iCs/>
          <w:sz w:val="26"/>
          <w:szCs w:val="26"/>
        </w:rPr>
        <w:t>Nghị quyết số 21/2021/NQ-HĐND ngày 09/12</w:t>
      </w:r>
      <w:r w:rsidRPr="00547EB5">
        <w:rPr>
          <w:iCs/>
          <w:sz w:val="26"/>
          <w:szCs w:val="26"/>
        </w:rPr>
        <w:t xml:space="preserve">/2021 quy định các loại phí thuộc lĩnh vực môi </w:t>
      </w:r>
      <w:r w:rsidRPr="00547EB5">
        <w:rPr>
          <w:iCs/>
          <w:sz w:val="26"/>
          <w:szCs w:val="26"/>
        </w:rPr>
        <w:lastRenderedPageBreak/>
        <w:t xml:space="preserve">trường trên địa bàn tỉnh Trà Vinh; trong đó có phí thẩm định cấp, cấp lại, cấp điều chỉnh giấy phép môi trường. </w:t>
      </w:r>
    </w:p>
    <w:p w14:paraId="64133628" w14:textId="77777777" w:rsidR="00DF50E8" w:rsidRPr="00124404" w:rsidRDefault="00DF50E8" w:rsidP="00DF50E8">
      <w:pPr>
        <w:tabs>
          <w:tab w:val="left" w:pos="0"/>
        </w:tabs>
        <w:spacing w:before="120" w:after="120"/>
        <w:ind w:right="74"/>
        <w:jc w:val="both"/>
        <w:rPr>
          <w:iCs/>
          <w:sz w:val="26"/>
          <w:szCs w:val="26"/>
        </w:rPr>
      </w:pPr>
      <w:r>
        <w:rPr>
          <w:iCs/>
          <w:sz w:val="26"/>
          <w:szCs w:val="26"/>
        </w:rPr>
        <w:tab/>
      </w:r>
      <w:r w:rsidRPr="00124404">
        <w:rPr>
          <w:iCs/>
          <w:sz w:val="26"/>
          <w:szCs w:val="26"/>
        </w:rPr>
        <w:t>Ngày 10/01/2022, Chính phủ ban hành Nghị định số 08/2022/NĐ-CP về sửa đổi, bổ sung một số điều của các nghị định quy định chi tiết, hướng dẫn thi hành Luật Bảo vệ môi trường</w:t>
      </w:r>
      <w:r>
        <w:rPr>
          <w:iCs/>
          <w:sz w:val="26"/>
          <w:szCs w:val="26"/>
        </w:rPr>
        <w:t>;</w:t>
      </w:r>
      <w:r w:rsidRPr="00124404">
        <w:rPr>
          <w:iCs/>
          <w:sz w:val="26"/>
          <w:szCs w:val="26"/>
        </w:rPr>
        <w:t xml:space="preserve"> Bộ Tài nguyên và Môi trường ban hành Thông tư số 02/2022/TT-BTNMT ngày 10/01/2022 quy định chi tiết thi hành một số điều của Luật Bảo vệ môi trường </w:t>
      </w:r>
      <w:r w:rsidRPr="003E4EB6">
        <w:rPr>
          <w:iCs/>
          <w:sz w:val="26"/>
          <w:szCs w:val="26"/>
        </w:rPr>
        <w:t xml:space="preserve">(cùng có hiệu lực thi hành kể từ ngày 10/01/2022). </w:t>
      </w:r>
    </w:p>
    <w:p w14:paraId="5011801C" w14:textId="32A59254" w:rsidR="00DF50E8" w:rsidRDefault="00DF50E8" w:rsidP="00DF50E8">
      <w:pPr>
        <w:spacing w:before="120" w:after="120"/>
        <w:ind w:firstLine="720"/>
        <w:jc w:val="both"/>
        <w:rPr>
          <w:iCs/>
          <w:sz w:val="26"/>
          <w:szCs w:val="26"/>
        </w:rPr>
      </w:pPr>
      <w:r w:rsidRPr="00124404">
        <w:rPr>
          <w:iCs/>
          <w:sz w:val="26"/>
          <w:szCs w:val="26"/>
        </w:rPr>
        <w:t>Tại thời điểm</w:t>
      </w:r>
      <w:r>
        <w:rPr>
          <w:iCs/>
          <w:sz w:val="26"/>
          <w:szCs w:val="26"/>
        </w:rPr>
        <w:t xml:space="preserve"> Hội đồng nhân dân tỉnh ban hành Nghị quyết số 21/2021/N</w:t>
      </w:r>
      <w:r w:rsidR="00D27425">
        <w:rPr>
          <w:iCs/>
          <w:sz w:val="26"/>
          <w:szCs w:val="26"/>
        </w:rPr>
        <w:t>Q</w:t>
      </w:r>
      <w:r>
        <w:rPr>
          <w:iCs/>
          <w:sz w:val="26"/>
          <w:szCs w:val="26"/>
        </w:rPr>
        <w:t>-HĐND thì Nghị định số 08/2022/NĐ-CP</w:t>
      </w:r>
      <w:r w:rsidRPr="00124404">
        <w:rPr>
          <w:iCs/>
          <w:sz w:val="26"/>
          <w:szCs w:val="26"/>
        </w:rPr>
        <w:t xml:space="preserve"> và Thông tư số 02/2022/TT-BTNMT chưa được ban hành nên Sở Tài nguyên và Môi trường chưa đủ cơ sở tính toán các mục chi, mức chi của Hội đồng thẩm định/ Đoàn kiểm tra cấp giấy phép môi trường </w:t>
      </w:r>
      <w:r>
        <w:rPr>
          <w:iCs/>
          <w:sz w:val="26"/>
          <w:szCs w:val="26"/>
        </w:rPr>
        <w:t xml:space="preserve">nên </w:t>
      </w:r>
      <w:r w:rsidRPr="00124404">
        <w:rPr>
          <w:iCs/>
          <w:sz w:val="26"/>
          <w:szCs w:val="26"/>
        </w:rPr>
        <w:t xml:space="preserve">thời gian qua một số </w:t>
      </w:r>
      <w:r>
        <w:rPr>
          <w:iCs/>
          <w:sz w:val="26"/>
          <w:szCs w:val="26"/>
        </w:rPr>
        <w:t>h</w:t>
      </w:r>
      <w:r w:rsidRPr="00124404">
        <w:rPr>
          <w:iCs/>
          <w:sz w:val="26"/>
          <w:szCs w:val="26"/>
        </w:rPr>
        <w:t>ồ sơ có</w:t>
      </w:r>
      <w:r w:rsidRPr="00C15A05">
        <w:rPr>
          <w:iCs/>
          <w:sz w:val="26"/>
          <w:szCs w:val="26"/>
        </w:rPr>
        <w:t xml:space="preserve"> mức chi vượt mức thu phí thẩm đị</w:t>
      </w:r>
      <w:r w:rsidRPr="00124404">
        <w:rPr>
          <w:iCs/>
          <w:sz w:val="26"/>
          <w:szCs w:val="26"/>
        </w:rPr>
        <w:t>nh</w:t>
      </w:r>
      <w:r>
        <w:rPr>
          <w:iCs/>
          <w:sz w:val="26"/>
          <w:szCs w:val="26"/>
        </w:rPr>
        <w:t xml:space="preserve"> tại Nghị quyết số 21/2021/NĐ-HĐND</w:t>
      </w:r>
      <w:r w:rsidRPr="00124404">
        <w:rPr>
          <w:iCs/>
          <w:sz w:val="26"/>
          <w:szCs w:val="26"/>
        </w:rPr>
        <w:t xml:space="preserve">. </w:t>
      </w:r>
    </w:p>
    <w:p w14:paraId="4A6C9B5F" w14:textId="77777777" w:rsidR="00DF50E8" w:rsidRPr="003D54AA" w:rsidRDefault="00DF50E8" w:rsidP="00DF50E8">
      <w:pPr>
        <w:spacing w:before="120" w:after="120"/>
        <w:ind w:firstLine="720"/>
        <w:jc w:val="both"/>
        <w:rPr>
          <w:b/>
        </w:rPr>
      </w:pPr>
      <w:r>
        <w:rPr>
          <w:iCs/>
          <w:sz w:val="26"/>
          <w:szCs w:val="26"/>
        </w:rPr>
        <w:t>Vì vậy,</w:t>
      </w:r>
      <w:r w:rsidRPr="00124404">
        <w:rPr>
          <w:iCs/>
          <w:sz w:val="26"/>
          <w:szCs w:val="26"/>
        </w:rPr>
        <w:t xml:space="preserve"> để đảm bảo</w:t>
      </w:r>
      <w:r>
        <w:rPr>
          <w:iCs/>
          <w:sz w:val="26"/>
          <w:szCs w:val="26"/>
        </w:rPr>
        <w:t xml:space="preserve"> thu phí thẩm định đủ bù chi cho các hoạt động của </w:t>
      </w:r>
      <w:r w:rsidRPr="00124404">
        <w:rPr>
          <w:iCs/>
          <w:sz w:val="26"/>
          <w:szCs w:val="26"/>
        </w:rPr>
        <w:t>H</w:t>
      </w:r>
      <w:r>
        <w:rPr>
          <w:iCs/>
          <w:sz w:val="26"/>
          <w:szCs w:val="26"/>
        </w:rPr>
        <w:t>ội đồng thẩm định/Đoàn kiểm tra</w:t>
      </w:r>
      <w:r w:rsidRPr="00124404">
        <w:rPr>
          <w:iCs/>
          <w:sz w:val="26"/>
          <w:szCs w:val="26"/>
        </w:rPr>
        <w:t xml:space="preserve"> thì </w:t>
      </w:r>
      <w:r>
        <w:rPr>
          <w:iCs/>
          <w:sz w:val="26"/>
          <w:szCs w:val="26"/>
        </w:rPr>
        <w:t>việc xây dựng</w:t>
      </w:r>
      <w:r w:rsidRPr="00124404">
        <w:rPr>
          <w:iCs/>
          <w:sz w:val="26"/>
          <w:szCs w:val="26"/>
        </w:rPr>
        <w:t xml:space="preserve"> </w:t>
      </w:r>
      <w:r w:rsidRPr="006C2329">
        <w:rPr>
          <w:iCs/>
          <w:sz w:val="26"/>
          <w:szCs w:val="26"/>
        </w:rPr>
        <w:t>Nghị quyết sửa đổi khoản 3 Điều 1 Nghị quyết số 21/2021/NĐ-HĐND ngày 09/12/2021</w:t>
      </w:r>
      <w:r>
        <w:rPr>
          <w:iCs/>
          <w:sz w:val="26"/>
          <w:szCs w:val="26"/>
        </w:rPr>
        <w:t xml:space="preserve"> của Hội đồng nhân dân tỉnh quy định các loại phí thuộc lĩnh vực môi trường trên địa bàn tỉnh Trà Vinh</w:t>
      </w:r>
      <w:r w:rsidRPr="006C2329">
        <w:rPr>
          <w:iCs/>
          <w:sz w:val="26"/>
          <w:szCs w:val="26"/>
        </w:rPr>
        <w:t xml:space="preserve"> </w:t>
      </w:r>
      <w:r w:rsidRPr="00124404">
        <w:rPr>
          <w:iCs/>
          <w:sz w:val="26"/>
          <w:szCs w:val="26"/>
        </w:rPr>
        <w:t>là cần thiết, phù hợp.</w:t>
      </w:r>
    </w:p>
    <w:p w14:paraId="167A2F22" w14:textId="6B299DE6" w:rsidR="00021024" w:rsidRPr="001338E8" w:rsidRDefault="00021024" w:rsidP="00021024">
      <w:pPr>
        <w:spacing w:before="120"/>
        <w:ind w:firstLine="709"/>
        <w:jc w:val="both"/>
        <w:rPr>
          <w:b/>
        </w:rPr>
      </w:pPr>
      <w:r w:rsidRPr="001338E8">
        <w:rPr>
          <w:b/>
        </w:rPr>
        <w:t>3. Về nội dun</w:t>
      </w:r>
      <w:r w:rsidR="000A1FF3" w:rsidRPr="001338E8">
        <w:rPr>
          <w:b/>
        </w:rPr>
        <w:t>g cơ bản của dự thảo Nghị quyết:</w:t>
      </w:r>
    </w:p>
    <w:p w14:paraId="41496108" w14:textId="29C47B18" w:rsidR="003B640D" w:rsidRPr="001338E8" w:rsidRDefault="00C759D3" w:rsidP="00C759D3">
      <w:pPr>
        <w:spacing w:before="60" w:after="60"/>
        <w:ind w:firstLine="720"/>
        <w:jc w:val="both"/>
      </w:pPr>
      <w:r w:rsidRPr="001338E8">
        <w:t xml:space="preserve">Ban hành </w:t>
      </w:r>
      <w:r w:rsidR="0020167A" w:rsidRPr="0020167A">
        <w:t>Nghị quyết sửa đổi khoản 3 Điều 1 Nghị quyết số 21/2021/N</w:t>
      </w:r>
      <w:r w:rsidR="00D27425">
        <w:t>Q</w:t>
      </w:r>
      <w:bookmarkStart w:id="0" w:name="_GoBack"/>
      <w:bookmarkEnd w:id="0"/>
      <w:r w:rsidR="0020167A" w:rsidRPr="0020167A">
        <w:t>-HĐND ngày 09/12/2021 của Hội đồng nhân dân tỉnh quy định các loại phí thuộc lĩnh vực môi trường trên địa bàn tỉnh Trà Vinh</w:t>
      </w:r>
      <w:r w:rsidRPr="001338E8">
        <w:t xml:space="preserve"> </w:t>
      </w:r>
      <w:r w:rsidR="003B640D" w:rsidRPr="001338E8">
        <w:t>về phạm vi đối tượng; mức thu; thu, nộp, quản lý và sử dụng tiền phí, cụ thể:</w:t>
      </w:r>
      <w:r w:rsidR="003D1859">
        <w:t xml:space="preserve"> </w:t>
      </w:r>
    </w:p>
    <w:p w14:paraId="79A32781" w14:textId="77777777" w:rsidR="003D1859" w:rsidRPr="00144996" w:rsidRDefault="003D1859" w:rsidP="003D1859">
      <w:pPr>
        <w:spacing w:before="120" w:after="120"/>
        <w:ind w:firstLine="720"/>
        <w:jc w:val="both"/>
        <w:rPr>
          <w:bCs/>
        </w:rPr>
      </w:pPr>
      <w:r>
        <w:rPr>
          <w:bCs/>
        </w:rPr>
        <w:t>a</w:t>
      </w:r>
      <w:r w:rsidRPr="00144996">
        <w:rPr>
          <w:bCs/>
        </w:rPr>
        <w:t xml:space="preserve">) Đối tượng nộp phí  </w:t>
      </w:r>
    </w:p>
    <w:p w14:paraId="032F8397" w14:textId="77777777" w:rsidR="003D1859" w:rsidRPr="00144996" w:rsidRDefault="003D1859" w:rsidP="003D1859">
      <w:pPr>
        <w:spacing w:before="120" w:after="120"/>
        <w:ind w:firstLine="720"/>
        <w:jc w:val="both"/>
      </w:pPr>
      <w:r w:rsidRPr="00144996">
        <w:t>Tổ chức, cá nhân đề nghị cơ quan có thẩm quyền cấp giấy phép môi trường đối với các dự án đầu tư thuộc đối tượng phải thực hiện giấy phép môi trường của UBND tỉnh và UBND cấp huyện theo quy định của Luật Bảo vệ môi trường năm 2020.</w:t>
      </w:r>
    </w:p>
    <w:p w14:paraId="50D7F7EB" w14:textId="77777777" w:rsidR="003D1859" w:rsidRPr="00144996" w:rsidRDefault="003D1859" w:rsidP="003D1859">
      <w:pPr>
        <w:spacing w:before="120" w:after="120"/>
        <w:ind w:firstLine="720"/>
        <w:jc w:val="both"/>
      </w:pPr>
      <w:r>
        <w:t>b</w:t>
      </w:r>
      <w:r w:rsidRPr="00144996">
        <w:t xml:space="preserve">) </w:t>
      </w:r>
      <w:r w:rsidRPr="00144996">
        <w:rPr>
          <w:bCs/>
          <w:iCs/>
        </w:rPr>
        <w:t>Mức thu</w:t>
      </w:r>
      <w:r w:rsidRPr="00144996">
        <w:t>:</w:t>
      </w:r>
    </w:p>
    <w:p w14:paraId="084ED7D4" w14:textId="77777777" w:rsidR="003D1859" w:rsidRPr="00144996" w:rsidRDefault="003D1859" w:rsidP="003D1859">
      <w:pPr>
        <w:spacing w:before="120" w:after="120"/>
        <w:ind w:firstLine="720"/>
        <w:jc w:val="both"/>
        <w:rPr>
          <w:i/>
        </w:rPr>
      </w:pPr>
      <w:r w:rsidRPr="00144996">
        <w:rPr>
          <w:i/>
        </w:rPr>
        <w:t>- Đối với giấy phép môi trường do UBND tỉnh cấp:</w:t>
      </w:r>
    </w:p>
    <w:p w14:paraId="53BAA83F" w14:textId="77777777" w:rsidR="003D1859" w:rsidRPr="00144996" w:rsidRDefault="003D1859" w:rsidP="003D1859">
      <w:pPr>
        <w:spacing w:before="120" w:after="120"/>
        <w:jc w:val="right"/>
        <w:rPr>
          <w:b/>
          <w:i/>
          <w:iCs/>
          <w:lang w:val="vi-VN"/>
        </w:rPr>
      </w:pPr>
      <w:r w:rsidRPr="00144996">
        <w:rPr>
          <w:i/>
          <w:sz w:val="22"/>
          <w:szCs w:val="22"/>
        </w:rPr>
        <w:t>ĐVT: Triệu đồng/hồ sơ</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12"/>
        <w:gridCol w:w="2753"/>
      </w:tblGrid>
      <w:tr w:rsidR="003D1859" w:rsidRPr="00144996" w14:paraId="4679553A" w14:textId="77777777" w:rsidTr="00A17A64">
        <w:trPr>
          <w:trHeight w:val="462"/>
          <w:jc w:val="center"/>
        </w:trPr>
        <w:tc>
          <w:tcPr>
            <w:tcW w:w="3402" w:type="dxa"/>
            <w:vMerge w:val="restart"/>
            <w:shd w:val="clear" w:color="auto" w:fill="auto"/>
            <w:vAlign w:val="center"/>
          </w:tcPr>
          <w:p w14:paraId="3AD5569F" w14:textId="77777777" w:rsidR="003D1859" w:rsidRPr="00144996" w:rsidRDefault="003D1859" w:rsidP="00A17A64">
            <w:pPr>
              <w:spacing w:before="40" w:after="40"/>
              <w:jc w:val="center"/>
              <w:rPr>
                <w:b/>
                <w:iCs/>
              </w:rPr>
            </w:pPr>
            <w:r w:rsidRPr="00144996">
              <w:rPr>
                <w:b/>
                <w:iCs/>
              </w:rPr>
              <w:t xml:space="preserve">Loại </w:t>
            </w:r>
            <w:r w:rsidRPr="00144996">
              <w:rPr>
                <w:b/>
                <w:bCs/>
                <w:iCs/>
              </w:rPr>
              <w:t>giấy</w:t>
            </w:r>
            <w:r w:rsidRPr="00144996">
              <w:rPr>
                <w:iCs/>
              </w:rPr>
              <w:t xml:space="preserve"> </w:t>
            </w:r>
            <w:r w:rsidRPr="00144996">
              <w:rPr>
                <w:b/>
                <w:iCs/>
              </w:rPr>
              <w:t>phép môi trường</w:t>
            </w:r>
          </w:p>
        </w:tc>
        <w:tc>
          <w:tcPr>
            <w:tcW w:w="5965" w:type="dxa"/>
            <w:gridSpan w:val="2"/>
            <w:tcBorders>
              <w:bottom w:val="single" w:sz="4" w:space="0" w:color="auto"/>
            </w:tcBorders>
            <w:shd w:val="clear" w:color="auto" w:fill="auto"/>
          </w:tcPr>
          <w:p w14:paraId="2568F485" w14:textId="77777777" w:rsidR="003D1859" w:rsidRPr="00144996" w:rsidRDefault="003D1859" w:rsidP="00A17A64">
            <w:pPr>
              <w:spacing w:before="40" w:after="40"/>
              <w:jc w:val="center"/>
              <w:rPr>
                <w:b/>
                <w:iCs/>
              </w:rPr>
            </w:pPr>
            <w:r w:rsidRPr="00144996">
              <w:rPr>
                <w:b/>
                <w:iCs/>
              </w:rPr>
              <w:t>Mức thu</w:t>
            </w:r>
          </w:p>
        </w:tc>
      </w:tr>
      <w:tr w:rsidR="003D1859" w:rsidRPr="00144996" w14:paraId="70B84497" w14:textId="77777777" w:rsidTr="00A17A64">
        <w:trPr>
          <w:trHeight w:val="421"/>
          <w:jc w:val="center"/>
        </w:trPr>
        <w:tc>
          <w:tcPr>
            <w:tcW w:w="3402" w:type="dxa"/>
            <w:vMerge/>
            <w:shd w:val="clear" w:color="auto" w:fill="auto"/>
          </w:tcPr>
          <w:p w14:paraId="37C773C7" w14:textId="77777777" w:rsidR="003D1859" w:rsidRPr="00144996" w:rsidRDefault="003D1859" w:rsidP="00A17A64">
            <w:pPr>
              <w:spacing w:before="40" w:after="40"/>
              <w:jc w:val="both"/>
              <w:rPr>
                <w:iCs/>
              </w:rPr>
            </w:pPr>
          </w:p>
        </w:tc>
        <w:tc>
          <w:tcPr>
            <w:tcW w:w="3212" w:type="dxa"/>
            <w:tcBorders>
              <w:top w:val="single" w:sz="4" w:space="0" w:color="auto"/>
            </w:tcBorders>
            <w:shd w:val="clear" w:color="auto" w:fill="auto"/>
          </w:tcPr>
          <w:p w14:paraId="79B16DBC" w14:textId="77777777" w:rsidR="003D1859" w:rsidRPr="00144996" w:rsidRDefault="003D1859" w:rsidP="00A17A64">
            <w:pPr>
              <w:spacing w:before="40" w:after="40"/>
              <w:jc w:val="both"/>
              <w:rPr>
                <w:iCs/>
              </w:rPr>
            </w:pPr>
            <w:r w:rsidRPr="00144996">
              <w:rPr>
                <w:iCs/>
              </w:rPr>
              <w:t xml:space="preserve">Dự án đầu tư đã có quyết định phê duyệt kết quả thẩm định báo cáo </w:t>
            </w:r>
            <w:r w:rsidRPr="00144996">
              <w:t>đánh giá tác động môi trường</w:t>
            </w:r>
            <w:r w:rsidRPr="00144996">
              <w:rPr>
                <w:iCs/>
              </w:rPr>
              <w:t>/Cơ sở thuộc đối tượng phải có giấy phép môi trường</w:t>
            </w:r>
          </w:p>
        </w:tc>
        <w:tc>
          <w:tcPr>
            <w:tcW w:w="2753" w:type="dxa"/>
            <w:tcBorders>
              <w:top w:val="single" w:sz="4" w:space="0" w:color="auto"/>
            </w:tcBorders>
            <w:shd w:val="clear" w:color="auto" w:fill="auto"/>
          </w:tcPr>
          <w:p w14:paraId="26CBBA56" w14:textId="77777777" w:rsidR="003D1859" w:rsidRPr="00144996" w:rsidRDefault="003D1859" w:rsidP="00A17A64">
            <w:pPr>
              <w:spacing w:before="40" w:after="40"/>
              <w:jc w:val="both"/>
              <w:rPr>
                <w:iCs/>
              </w:rPr>
            </w:pPr>
            <w:r w:rsidRPr="00144996">
              <w:rPr>
                <w:iCs/>
              </w:rPr>
              <w:t xml:space="preserve">Dự án đầu tư không thuộc đối tượng phải thực hiện đánh giá tác động môi trường </w:t>
            </w:r>
            <w:r w:rsidRPr="00144996">
              <w:rPr>
                <w:i/>
              </w:rPr>
              <w:t>(Thành lập Hội đồng thẩm định)</w:t>
            </w:r>
          </w:p>
        </w:tc>
      </w:tr>
      <w:tr w:rsidR="003D1859" w:rsidRPr="00144996" w14:paraId="70555DF6" w14:textId="77777777" w:rsidTr="00A17A64">
        <w:trPr>
          <w:jc w:val="center"/>
        </w:trPr>
        <w:tc>
          <w:tcPr>
            <w:tcW w:w="3402" w:type="dxa"/>
            <w:shd w:val="clear" w:color="auto" w:fill="auto"/>
          </w:tcPr>
          <w:p w14:paraId="682C3C67" w14:textId="77777777" w:rsidR="003D1859" w:rsidRPr="00144996" w:rsidRDefault="003D1859" w:rsidP="00A17A64">
            <w:pPr>
              <w:spacing w:before="40" w:after="40"/>
              <w:jc w:val="both"/>
              <w:rPr>
                <w:iCs/>
              </w:rPr>
            </w:pPr>
            <w:r w:rsidRPr="00144996">
              <w:rPr>
                <w:iCs/>
              </w:rPr>
              <w:t>Cấp giấy phép môi trường</w:t>
            </w:r>
          </w:p>
        </w:tc>
        <w:tc>
          <w:tcPr>
            <w:tcW w:w="3212" w:type="dxa"/>
            <w:shd w:val="clear" w:color="auto" w:fill="auto"/>
          </w:tcPr>
          <w:p w14:paraId="04163CD3" w14:textId="77777777" w:rsidR="003D1859" w:rsidRPr="00F74095" w:rsidRDefault="003D1859" w:rsidP="00A17A64">
            <w:pPr>
              <w:spacing w:before="40" w:after="40"/>
              <w:jc w:val="center"/>
              <w:rPr>
                <w:iCs/>
              </w:rPr>
            </w:pPr>
            <w:r w:rsidRPr="00F74095">
              <w:rPr>
                <w:i/>
                <w:iCs/>
              </w:rPr>
              <w:t>5,7</w:t>
            </w:r>
          </w:p>
        </w:tc>
        <w:tc>
          <w:tcPr>
            <w:tcW w:w="2753" w:type="dxa"/>
            <w:shd w:val="clear" w:color="auto" w:fill="auto"/>
          </w:tcPr>
          <w:p w14:paraId="6428125D" w14:textId="77777777" w:rsidR="003D1859" w:rsidRPr="008738F9" w:rsidRDefault="003D1859" w:rsidP="00A17A64">
            <w:pPr>
              <w:spacing w:before="40" w:after="40"/>
              <w:jc w:val="center"/>
              <w:rPr>
                <w:iCs/>
                <w:highlight w:val="yellow"/>
              </w:rPr>
            </w:pPr>
            <w:r w:rsidRPr="00F74095">
              <w:rPr>
                <w:i/>
                <w:iCs/>
              </w:rPr>
              <w:t>4,8</w:t>
            </w:r>
          </w:p>
        </w:tc>
      </w:tr>
      <w:tr w:rsidR="003D1859" w:rsidRPr="00144996" w14:paraId="653019B4" w14:textId="77777777" w:rsidTr="00A17A64">
        <w:trPr>
          <w:trHeight w:val="707"/>
          <w:jc w:val="center"/>
        </w:trPr>
        <w:tc>
          <w:tcPr>
            <w:tcW w:w="3402" w:type="dxa"/>
            <w:shd w:val="clear" w:color="auto" w:fill="auto"/>
          </w:tcPr>
          <w:p w14:paraId="1602A0F4" w14:textId="77777777" w:rsidR="003D1859" w:rsidRPr="00144996" w:rsidRDefault="003D1859" w:rsidP="00A17A64">
            <w:pPr>
              <w:spacing w:before="40" w:after="40"/>
              <w:jc w:val="both"/>
              <w:rPr>
                <w:iCs/>
              </w:rPr>
            </w:pPr>
            <w:r w:rsidRPr="00144996">
              <w:rPr>
                <w:iCs/>
              </w:rPr>
              <w:lastRenderedPageBreak/>
              <w:t>Cấp lại giấy phép môi trường</w:t>
            </w:r>
          </w:p>
        </w:tc>
        <w:tc>
          <w:tcPr>
            <w:tcW w:w="5965" w:type="dxa"/>
            <w:gridSpan w:val="2"/>
            <w:shd w:val="clear" w:color="auto" w:fill="auto"/>
            <w:vAlign w:val="center"/>
          </w:tcPr>
          <w:p w14:paraId="7DE56A68" w14:textId="77777777" w:rsidR="003D1859" w:rsidRPr="00F74095" w:rsidRDefault="003D1859" w:rsidP="00A17A64">
            <w:pPr>
              <w:spacing w:before="40" w:after="40"/>
              <w:jc w:val="center"/>
              <w:rPr>
                <w:iCs/>
              </w:rPr>
            </w:pPr>
            <w:r w:rsidRPr="00F74095">
              <w:rPr>
                <w:i/>
                <w:iCs/>
              </w:rPr>
              <w:t>5,7</w:t>
            </w:r>
          </w:p>
        </w:tc>
      </w:tr>
      <w:tr w:rsidR="003D1859" w:rsidRPr="00144996" w14:paraId="1FF69BF8" w14:textId="77777777" w:rsidTr="00A17A64">
        <w:trPr>
          <w:trHeight w:val="535"/>
          <w:jc w:val="center"/>
        </w:trPr>
        <w:tc>
          <w:tcPr>
            <w:tcW w:w="3402" w:type="dxa"/>
            <w:shd w:val="clear" w:color="auto" w:fill="auto"/>
          </w:tcPr>
          <w:p w14:paraId="01570D66" w14:textId="77777777" w:rsidR="003D1859" w:rsidRPr="00144996" w:rsidRDefault="003D1859" w:rsidP="00A17A64">
            <w:pPr>
              <w:spacing w:before="40" w:after="40"/>
              <w:jc w:val="both"/>
              <w:rPr>
                <w:iCs/>
              </w:rPr>
            </w:pPr>
            <w:r w:rsidRPr="00144996">
              <w:rPr>
                <w:iCs/>
              </w:rPr>
              <w:t>Cấp điều chỉnh giấy phép môi trường</w:t>
            </w:r>
          </w:p>
        </w:tc>
        <w:tc>
          <w:tcPr>
            <w:tcW w:w="5965" w:type="dxa"/>
            <w:gridSpan w:val="2"/>
            <w:shd w:val="clear" w:color="auto" w:fill="auto"/>
            <w:vAlign w:val="center"/>
          </w:tcPr>
          <w:p w14:paraId="03A9B0F7" w14:textId="77777777" w:rsidR="003D1859" w:rsidRPr="00F74095" w:rsidRDefault="003D1859" w:rsidP="00A17A64">
            <w:pPr>
              <w:spacing w:before="40" w:after="40"/>
              <w:jc w:val="center"/>
              <w:rPr>
                <w:iCs/>
              </w:rPr>
            </w:pPr>
            <w:r w:rsidRPr="00F74095">
              <w:rPr>
                <w:i/>
                <w:iCs/>
              </w:rPr>
              <w:t>5,7</w:t>
            </w:r>
          </w:p>
        </w:tc>
      </w:tr>
    </w:tbl>
    <w:p w14:paraId="52CA4CD2" w14:textId="77777777" w:rsidR="003D1859" w:rsidRPr="00144996" w:rsidRDefault="003D1859" w:rsidP="003D1859">
      <w:pPr>
        <w:spacing w:before="120" w:after="120"/>
        <w:ind w:firstLine="720"/>
        <w:jc w:val="both"/>
        <w:rPr>
          <w:i/>
        </w:rPr>
      </w:pPr>
      <w:r w:rsidRPr="00144996">
        <w:rPr>
          <w:i/>
        </w:rPr>
        <w:t xml:space="preserve">- Đối với giấy phép môi trường do UBND cấp huyện cấp: </w:t>
      </w:r>
    </w:p>
    <w:p w14:paraId="35F1F908" w14:textId="77777777" w:rsidR="003D1859" w:rsidRPr="00144996" w:rsidRDefault="003D1859" w:rsidP="003D1859">
      <w:pPr>
        <w:spacing w:before="120" w:after="120"/>
        <w:jc w:val="right"/>
        <w:rPr>
          <w:b/>
          <w:i/>
          <w:iCs/>
          <w:lang w:val="vi-VN"/>
        </w:rPr>
      </w:pPr>
      <w:r w:rsidRPr="00144996">
        <w:rPr>
          <w:i/>
          <w:sz w:val="22"/>
          <w:szCs w:val="22"/>
        </w:rPr>
        <w:t>ĐVT: Triệu đồng/hồ sơ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52"/>
      </w:tblGrid>
      <w:tr w:rsidR="003D1859" w:rsidRPr="00144996" w14:paraId="0E2674B2" w14:textId="77777777" w:rsidTr="00A17A64">
        <w:trPr>
          <w:trHeight w:val="462"/>
        </w:trPr>
        <w:tc>
          <w:tcPr>
            <w:tcW w:w="3652" w:type="dxa"/>
            <w:vMerge w:val="restart"/>
            <w:shd w:val="clear" w:color="auto" w:fill="auto"/>
            <w:vAlign w:val="center"/>
          </w:tcPr>
          <w:p w14:paraId="1EEB76E2" w14:textId="77777777" w:rsidR="003D1859" w:rsidRPr="00144996" w:rsidRDefault="003D1859" w:rsidP="00A17A64">
            <w:pPr>
              <w:spacing w:before="40" w:after="40"/>
              <w:jc w:val="center"/>
              <w:rPr>
                <w:b/>
                <w:iCs/>
              </w:rPr>
            </w:pPr>
            <w:r w:rsidRPr="00144996">
              <w:rPr>
                <w:b/>
                <w:iCs/>
              </w:rPr>
              <w:t xml:space="preserve">Loại </w:t>
            </w:r>
            <w:r w:rsidRPr="00144996">
              <w:rPr>
                <w:b/>
                <w:bCs/>
                <w:iCs/>
              </w:rPr>
              <w:t>giấy</w:t>
            </w:r>
            <w:r w:rsidRPr="00144996">
              <w:rPr>
                <w:iCs/>
              </w:rPr>
              <w:t xml:space="preserve"> </w:t>
            </w:r>
            <w:r w:rsidRPr="00144996">
              <w:rPr>
                <w:b/>
                <w:iCs/>
              </w:rPr>
              <w:t>phép môi trường</w:t>
            </w:r>
          </w:p>
        </w:tc>
        <w:tc>
          <w:tcPr>
            <w:tcW w:w="5954" w:type="dxa"/>
            <w:gridSpan w:val="2"/>
            <w:tcBorders>
              <w:bottom w:val="single" w:sz="4" w:space="0" w:color="auto"/>
            </w:tcBorders>
            <w:shd w:val="clear" w:color="auto" w:fill="auto"/>
          </w:tcPr>
          <w:p w14:paraId="4A3C80CF" w14:textId="77777777" w:rsidR="003D1859" w:rsidRPr="00144996" w:rsidRDefault="003D1859" w:rsidP="00A17A64">
            <w:pPr>
              <w:spacing w:before="40" w:after="40"/>
              <w:jc w:val="center"/>
              <w:rPr>
                <w:b/>
                <w:iCs/>
              </w:rPr>
            </w:pPr>
            <w:r w:rsidRPr="00144996">
              <w:rPr>
                <w:b/>
                <w:iCs/>
              </w:rPr>
              <w:t>Mức thu</w:t>
            </w:r>
          </w:p>
        </w:tc>
      </w:tr>
      <w:tr w:rsidR="003D1859" w:rsidRPr="00144996" w14:paraId="6FBDCD3E" w14:textId="77777777" w:rsidTr="00A17A64">
        <w:trPr>
          <w:trHeight w:val="421"/>
        </w:trPr>
        <w:tc>
          <w:tcPr>
            <w:tcW w:w="3652" w:type="dxa"/>
            <w:vMerge/>
            <w:shd w:val="clear" w:color="auto" w:fill="auto"/>
          </w:tcPr>
          <w:p w14:paraId="74578EED" w14:textId="77777777" w:rsidR="003D1859" w:rsidRPr="00144996" w:rsidRDefault="003D1859" w:rsidP="00A17A64">
            <w:pPr>
              <w:spacing w:before="40" w:after="40"/>
              <w:jc w:val="both"/>
              <w:rPr>
                <w:iCs/>
              </w:rPr>
            </w:pPr>
          </w:p>
        </w:tc>
        <w:tc>
          <w:tcPr>
            <w:tcW w:w="3402" w:type="dxa"/>
            <w:tcBorders>
              <w:top w:val="single" w:sz="4" w:space="0" w:color="auto"/>
            </w:tcBorders>
            <w:shd w:val="clear" w:color="auto" w:fill="auto"/>
          </w:tcPr>
          <w:p w14:paraId="5E131820" w14:textId="77777777" w:rsidR="003D1859" w:rsidRPr="00144996" w:rsidRDefault="003D1859" w:rsidP="00A17A64">
            <w:pPr>
              <w:spacing w:before="40" w:after="40"/>
              <w:jc w:val="both"/>
              <w:rPr>
                <w:iCs/>
              </w:rPr>
            </w:pPr>
            <w:r w:rsidRPr="00144996">
              <w:rPr>
                <w:iCs/>
              </w:rPr>
              <w:t xml:space="preserve">Dự án đầu tư đã có quyết định phê duyệt kết quả thẩm định báo cáo </w:t>
            </w:r>
            <w:r w:rsidRPr="00144996">
              <w:t xml:space="preserve">đánh giá tác động môi trường </w:t>
            </w:r>
            <w:r w:rsidRPr="00144996">
              <w:rPr>
                <w:iCs/>
              </w:rPr>
              <w:t>/Cơ sở thuộc đối tượng phải có giấy phép môi trường</w:t>
            </w:r>
          </w:p>
        </w:tc>
        <w:tc>
          <w:tcPr>
            <w:tcW w:w="2552" w:type="dxa"/>
            <w:tcBorders>
              <w:top w:val="single" w:sz="4" w:space="0" w:color="auto"/>
            </w:tcBorders>
            <w:shd w:val="clear" w:color="auto" w:fill="auto"/>
          </w:tcPr>
          <w:p w14:paraId="1D91718C" w14:textId="77777777" w:rsidR="003D1859" w:rsidRPr="00144996" w:rsidRDefault="003D1859" w:rsidP="00A17A64">
            <w:pPr>
              <w:spacing w:before="40" w:after="40"/>
              <w:jc w:val="both"/>
              <w:rPr>
                <w:iCs/>
              </w:rPr>
            </w:pPr>
            <w:r w:rsidRPr="00144996">
              <w:rPr>
                <w:iCs/>
              </w:rPr>
              <w:t xml:space="preserve">Dự án đầu tư không thuộc đối tượng phải thực hiện đánh giá tác động môi trường </w:t>
            </w:r>
            <w:r w:rsidRPr="00144996">
              <w:rPr>
                <w:i/>
              </w:rPr>
              <w:t>(Thành lập Hội đồng thẩm định)</w:t>
            </w:r>
          </w:p>
        </w:tc>
      </w:tr>
      <w:tr w:rsidR="003D1859" w:rsidRPr="00144996" w14:paraId="74C954FD" w14:textId="77777777" w:rsidTr="00A17A64">
        <w:tc>
          <w:tcPr>
            <w:tcW w:w="3652" w:type="dxa"/>
            <w:shd w:val="clear" w:color="auto" w:fill="auto"/>
          </w:tcPr>
          <w:p w14:paraId="5F77A501" w14:textId="77777777" w:rsidR="003D1859" w:rsidRPr="00144996" w:rsidRDefault="003D1859" w:rsidP="00A17A64">
            <w:pPr>
              <w:spacing w:before="40" w:after="40"/>
              <w:jc w:val="both"/>
              <w:rPr>
                <w:iCs/>
              </w:rPr>
            </w:pPr>
            <w:r w:rsidRPr="00144996">
              <w:rPr>
                <w:iCs/>
              </w:rPr>
              <w:t>Cấp giấy phép môi trường</w:t>
            </w:r>
          </w:p>
        </w:tc>
        <w:tc>
          <w:tcPr>
            <w:tcW w:w="3402" w:type="dxa"/>
            <w:shd w:val="clear" w:color="auto" w:fill="auto"/>
          </w:tcPr>
          <w:p w14:paraId="0C01FD58" w14:textId="77777777" w:rsidR="003D1859" w:rsidRPr="00406D46" w:rsidRDefault="003D1859" w:rsidP="00A17A64">
            <w:pPr>
              <w:spacing w:before="40" w:after="40"/>
              <w:jc w:val="center"/>
              <w:rPr>
                <w:iCs/>
              </w:rPr>
            </w:pPr>
            <w:r w:rsidRPr="00406D46">
              <w:rPr>
                <w:i/>
                <w:iCs/>
              </w:rPr>
              <w:t>2,5</w:t>
            </w:r>
          </w:p>
        </w:tc>
        <w:tc>
          <w:tcPr>
            <w:tcW w:w="2552" w:type="dxa"/>
            <w:shd w:val="clear" w:color="auto" w:fill="auto"/>
          </w:tcPr>
          <w:p w14:paraId="4360D49D" w14:textId="77777777" w:rsidR="003D1859" w:rsidRPr="00406D46" w:rsidRDefault="003D1859" w:rsidP="00A17A64">
            <w:pPr>
              <w:spacing w:before="40" w:after="40"/>
              <w:jc w:val="center"/>
              <w:rPr>
                <w:iCs/>
              </w:rPr>
            </w:pPr>
            <w:r w:rsidRPr="00406D46">
              <w:rPr>
                <w:i/>
                <w:iCs/>
              </w:rPr>
              <w:t>2,9</w:t>
            </w:r>
          </w:p>
        </w:tc>
      </w:tr>
      <w:tr w:rsidR="003D1859" w:rsidRPr="00144996" w14:paraId="5E5E88CE" w14:textId="77777777" w:rsidTr="00A17A64">
        <w:tc>
          <w:tcPr>
            <w:tcW w:w="3652" w:type="dxa"/>
            <w:shd w:val="clear" w:color="auto" w:fill="auto"/>
          </w:tcPr>
          <w:p w14:paraId="6ACE5276" w14:textId="77777777" w:rsidR="003D1859" w:rsidRPr="00144996" w:rsidRDefault="003D1859" w:rsidP="00A17A64">
            <w:pPr>
              <w:spacing w:before="40" w:after="40"/>
              <w:jc w:val="both"/>
              <w:rPr>
                <w:iCs/>
              </w:rPr>
            </w:pPr>
            <w:r w:rsidRPr="00144996">
              <w:rPr>
                <w:iCs/>
              </w:rPr>
              <w:t xml:space="preserve">Cấp lại giấy phép môi trường </w:t>
            </w:r>
          </w:p>
        </w:tc>
        <w:tc>
          <w:tcPr>
            <w:tcW w:w="5954" w:type="dxa"/>
            <w:gridSpan w:val="2"/>
            <w:shd w:val="clear" w:color="auto" w:fill="auto"/>
          </w:tcPr>
          <w:p w14:paraId="083E7015" w14:textId="77777777" w:rsidR="003D1859" w:rsidRPr="00406D46" w:rsidRDefault="003D1859" w:rsidP="00A17A64">
            <w:pPr>
              <w:jc w:val="center"/>
            </w:pPr>
            <w:r w:rsidRPr="00406D46">
              <w:rPr>
                <w:i/>
                <w:iCs/>
              </w:rPr>
              <w:t>2,5</w:t>
            </w:r>
          </w:p>
        </w:tc>
      </w:tr>
      <w:tr w:rsidR="003D1859" w:rsidRPr="00144996" w14:paraId="4132C064" w14:textId="77777777" w:rsidTr="00A17A64">
        <w:tc>
          <w:tcPr>
            <w:tcW w:w="3652" w:type="dxa"/>
            <w:shd w:val="clear" w:color="auto" w:fill="auto"/>
          </w:tcPr>
          <w:p w14:paraId="6BB322FF" w14:textId="77777777" w:rsidR="003D1859" w:rsidRPr="00144996" w:rsidRDefault="003D1859" w:rsidP="00A17A64">
            <w:pPr>
              <w:spacing w:before="40" w:after="40"/>
              <w:jc w:val="both"/>
              <w:rPr>
                <w:iCs/>
              </w:rPr>
            </w:pPr>
            <w:r w:rsidRPr="00144996">
              <w:rPr>
                <w:iCs/>
              </w:rPr>
              <w:t>Cấp điều chỉnh giấy phép môi trường</w:t>
            </w:r>
          </w:p>
        </w:tc>
        <w:tc>
          <w:tcPr>
            <w:tcW w:w="5954" w:type="dxa"/>
            <w:gridSpan w:val="2"/>
            <w:shd w:val="clear" w:color="auto" w:fill="auto"/>
          </w:tcPr>
          <w:p w14:paraId="52527A82" w14:textId="77777777" w:rsidR="003D1859" w:rsidRPr="00406D46" w:rsidRDefault="003D1859" w:rsidP="00A17A64">
            <w:pPr>
              <w:jc w:val="center"/>
            </w:pPr>
            <w:r w:rsidRPr="00406D46">
              <w:rPr>
                <w:i/>
                <w:iCs/>
              </w:rPr>
              <w:t>2,5</w:t>
            </w:r>
          </w:p>
        </w:tc>
      </w:tr>
    </w:tbl>
    <w:p w14:paraId="530B9D22" w14:textId="77777777" w:rsidR="003D1859" w:rsidRPr="00144996" w:rsidRDefault="003D1859" w:rsidP="003D1859">
      <w:pPr>
        <w:spacing w:before="120" w:after="120"/>
        <w:jc w:val="both"/>
        <w:rPr>
          <w:bCs/>
        </w:rPr>
      </w:pPr>
      <w:r w:rsidRPr="00144996">
        <w:rPr>
          <w:b/>
          <w:i/>
          <w:iCs/>
        </w:rPr>
        <w:tab/>
      </w:r>
      <w:r w:rsidRPr="00144996">
        <w:rPr>
          <w:bCs/>
        </w:rPr>
        <w:t>Mức thu phí nêu trên không bao gồm chi phí lấy và phân tích mẫu môi trường. Chi phí lấy mẫu phát sinh trong quá trình thẩm định Giấy phép sẽ do chủ đầu tư tự chi trả trên cơ sở loại mẫu môi trường (nước thải, khí thải,...) do Đoàn kiểm tra/Hội đồng thẩm định tiến hành thu và phân tích mẫu.</w:t>
      </w:r>
    </w:p>
    <w:p w14:paraId="7F981543" w14:textId="77777777" w:rsidR="003D1859" w:rsidRPr="00144996" w:rsidRDefault="003D1859" w:rsidP="003D1859">
      <w:pPr>
        <w:spacing w:before="120" w:after="120"/>
        <w:ind w:firstLine="720"/>
        <w:jc w:val="both"/>
      </w:pPr>
      <w:r>
        <w:rPr>
          <w:bCs/>
        </w:rPr>
        <w:t>c</w:t>
      </w:r>
      <w:r w:rsidRPr="00144996">
        <w:rPr>
          <w:bCs/>
        </w:rPr>
        <w:t xml:space="preserve">) </w:t>
      </w:r>
      <w:r w:rsidRPr="00144996">
        <w:t>Thu, nộp, quản lý và sử dụng tiền phí</w:t>
      </w:r>
    </w:p>
    <w:p w14:paraId="0874AB79" w14:textId="77777777" w:rsidR="003D1859" w:rsidRPr="00144996" w:rsidRDefault="003D1859" w:rsidP="003D1859">
      <w:pPr>
        <w:spacing w:before="120" w:after="120"/>
        <w:ind w:firstLine="720"/>
        <w:jc w:val="both"/>
      </w:pPr>
      <w:r w:rsidRPr="00144996">
        <w:t>Sở Tài nguyên và Môi trường thực hiện thu phí cấp giấy phép môi trường đối với trường hợp do UBND tỉnh cấp, Phòng Tài nguyên và Môi trường thực hiện thu phí cấp giấy phép môi trường đối với trường hợp do UBND cấp huyện cấp và nộp 100% số tiền phí vào ngân sách Nhà nước theo quy định của pháp luật hiện hành. Việc kê khai, nộp phí theo tháng và quyết toán năm theo quy định tại Luật Quản lý thuế và Nghị định số 126/2020/NĐ-CP ngày 19/10/2020 của Chính phủ quy định chi tiết một số điều của Luật Quản lý thuế.</w:t>
      </w:r>
    </w:p>
    <w:p w14:paraId="729C58F9" w14:textId="77777777" w:rsidR="006F30AA" w:rsidRPr="001338E8" w:rsidRDefault="00C756EB" w:rsidP="00A7281C">
      <w:pPr>
        <w:spacing w:before="80" w:after="80"/>
        <w:ind w:firstLine="720"/>
        <w:jc w:val="both"/>
        <w:rPr>
          <w:lang w:val="nl-NL"/>
        </w:rPr>
      </w:pPr>
      <w:r w:rsidRPr="001338E8">
        <w:rPr>
          <w:b/>
          <w:bCs/>
          <w:lang w:val="nl-NL"/>
        </w:rPr>
        <w:t>*</w:t>
      </w:r>
      <w:r w:rsidR="008A5CD3" w:rsidRPr="001338E8">
        <w:rPr>
          <w:b/>
          <w:bCs/>
          <w:lang w:val="nl-NL"/>
        </w:rPr>
        <w:t xml:space="preserve"> </w:t>
      </w:r>
      <w:r w:rsidR="006F30AA" w:rsidRPr="001338E8">
        <w:rPr>
          <w:b/>
          <w:bCs/>
          <w:lang w:val="nl-NL"/>
        </w:rPr>
        <w:t>Hồ sơ trình HĐND tỉnh gồm</w:t>
      </w:r>
    </w:p>
    <w:p w14:paraId="730E47FC" w14:textId="5985CE91" w:rsidR="00CC6923" w:rsidRDefault="00CC6923" w:rsidP="00A7281C">
      <w:pPr>
        <w:spacing w:before="120" w:after="120"/>
        <w:ind w:firstLine="720"/>
        <w:jc w:val="both"/>
        <w:rPr>
          <w:noProof/>
        </w:rPr>
      </w:pPr>
      <w:r w:rsidRPr="001338E8">
        <w:t xml:space="preserve">- </w:t>
      </w:r>
      <w:r w:rsidR="00856EF5" w:rsidRPr="001338E8">
        <w:t>Dự thảo Nghị quyết</w:t>
      </w:r>
      <w:r w:rsidRPr="001338E8">
        <w:rPr>
          <w:bCs/>
        </w:rPr>
        <w:t>.</w:t>
      </w:r>
      <w:r w:rsidRPr="001338E8">
        <w:rPr>
          <w:noProof/>
        </w:rPr>
        <w:t xml:space="preserve"> </w:t>
      </w:r>
    </w:p>
    <w:p w14:paraId="5B9F5401" w14:textId="5E41E15C" w:rsidR="00163ABD" w:rsidRPr="00144996" w:rsidRDefault="00EF43AC" w:rsidP="00163ABD">
      <w:pPr>
        <w:spacing w:before="120" w:after="120"/>
        <w:ind w:firstLine="709"/>
        <w:jc w:val="both"/>
        <w:rPr>
          <w:lang w:val="en"/>
        </w:rPr>
      </w:pPr>
      <w:r w:rsidRPr="00EF43AC">
        <w:t>- Đề án quy định phí thẩm định cấp, cấp lại, điều chỉnh giấy phép môi trường.</w:t>
      </w:r>
    </w:p>
    <w:p w14:paraId="05EC7C9F" w14:textId="77777777" w:rsidR="00781B5E" w:rsidRPr="001338E8" w:rsidRDefault="00CB647D" w:rsidP="00A7281C">
      <w:pPr>
        <w:pStyle w:val="Textbody"/>
        <w:spacing w:before="80" w:after="80"/>
        <w:ind w:right="66" w:firstLine="720"/>
        <w:jc w:val="both"/>
        <w:rPr>
          <w:sz w:val="28"/>
        </w:rPr>
      </w:pPr>
      <w:r w:rsidRPr="001338E8">
        <w:rPr>
          <w:sz w:val="28"/>
        </w:rPr>
        <w:t xml:space="preserve">- </w:t>
      </w:r>
      <w:r w:rsidR="006F30AA" w:rsidRPr="001338E8">
        <w:rPr>
          <w:sz w:val="28"/>
          <w:lang w:val="id-ID"/>
        </w:rPr>
        <w:t xml:space="preserve">Báo cáo thẩm </w:t>
      </w:r>
      <w:r w:rsidR="004664AA" w:rsidRPr="001338E8">
        <w:rPr>
          <w:sz w:val="28"/>
        </w:rPr>
        <w:t>định của Sở Tư pháp</w:t>
      </w:r>
      <w:r w:rsidR="00781B5E" w:rsidRPr="001338E8">
        <w:rPr>
          <w:sz w:val="28"/>
        </w:rPr>
        <w:t>;</w:t>
      </w:r>
    </w:p>
    <w:p w14:paraId="5C758CCB" w14:textId="165D2AB3" w:rsidR="006F30AA" w:rsidRPr="001338E8" w:rsidRDefault="00781B5E" w:rsidP="006117D0">
      <w:pPr>
        <w:pStyle w:val="Textbody"/>
        <w:spacing w:before="80" w:after="80"/>
        <w:ind w:firstLine="720"/>
        <w:jc w:val="both"/>
        <w:rPr>
          <w:sz w:val="28"/>
        </w:rPr>
      </w:pPr>
      <w:r w:rsidRPr="001338E8">
        <w:rPr>
          <w:sz w:val="28"/>
        </w:rPr>
        <w:t>- Báo cáo tiếp thu giải trình ý kiến đóng góp của</w:t>
      </w:r>
      <w:r w:rsidR="00457927" w:rsidRPr="001338E8">
        <w:rPr>
          <w:sz w:val="28"/>
        </w:rPr>
        <w:t xml:space="preserve"> các</w:t>
      </w:r>
      <w:r w:rsidRPr="001338E8">
        <w:rPr>
          <w:sz w:val="28"/>
        </w:rPr>
        <w:t xml:space="preserve"> </w:t>
      </w:r>
      <w:r w:rsidR="00457927" w:rsidRPr="001338E8">
        <w:rPr>
          <w:sz w:val="28"/>
        </w:rPr>
        <w:t>S</w:t>
      </w:r>
      <w:r w:rsidRPr="001338E8">
        <w:rPr>
          <w:sz w:val="28"/>
        </w:rPr>
        <w:t>ở, ngành</w:t>
      </w:r>
      <w:r w:rsidR="00457927" w:rsidRPr="001338E8">
        <w:rPr>
          <w:sz w:val="28"/>
        </w:rPr>
        <w:t xml:space="preserve"> tỉnh</w:t>
      </w:r>
      <w:r w:rsidR="008D5848">
        <w:rPr>
          <w:sz w:val="28"/>
        </w:rPr>
        <w:t>; Hội, đoàn thể tỉnh</w:t>
      </w:r>
      <w:r w:rsidR="00457927" w:rsidRPr="001338E8">
        <w:rPr>
          <w:sz w:val="28"/>
        </w:rPr>
        <w:t xml:space="preserve"> và</w:t>
      </w:r>
      <w:r w:rsidRPr="001338E8">
        <w:rPr>
          <w:sz w:val="28"/>
        </w:rPr>
        <w:t xml:space="preserve"> UBND </w:t>
      </w:r>
      <w:r w:rsidR="00862234" w:rsidRPr="001338E8">
        <w:rPr>
          <w:sz w:val="28"/>
        </w:rPr>
        <w:t>các huyện, thị xã, thành phố</w:t>
      </w:r>
      <w:r w:rsidR="004664AA" w:rsidRPr="001338E8">
        <w:rPr>
          <w:sz w:val="28"/>
        </w:rPr>
        <w:t>.</w:t>
      </w:r>
    </w:p>
    <w:p w14:paraId="24A727F5" w14:textId="577B8B9C" w:rsidR="00B043AE" w:rsidRPr="001338E8" w:rsidRDefault="00B043AE" w:rsidP="00A7281C">
      <w:pPr>
        <w:pStyle w:val="Textbody"/>
        <w:spacing w:before="80" w:after="80"/>
        <w:ind w:right="66" w:firstLine="720"/>
        <w:jc w:val="both"/>
        <w:rPr>
          <w:sz w:val="28"/>
        </w:rPr>
      </w:pPr>
      <w:r w:rsidRPr="001338E8">
        <w:rPr>
          <w:sz w:val="28"/>
        </w:rPr>
        <w:t>- Báo cáo tiếp thu ý kiến thẩm định của Sở Tư pháp</w:t>
      </w:r>
      <w:r w:rsidR="00A33FE2" w:rsidRPr="001338E8">
        <w:rPr>
          <w:sz w:val="28"/>
        </w:rPr>
        <w:t>.</w:t>
      </w:r>
    </w:p>
    <w:p w14:paraId="3BB49E2C" w14:textId="77777777" w:rsidR="00781B5E" w:rsidRPr="001338E8" w:rsidRDefault="00DF0344" w:rsidP="00A7281C">
      <w:pPr>
        <w:spacing w:before="80" w:after="80"/>
        <w:ind w:firstLine="720"/>
        <w:jc w:val="both"/>
        <w:rPr>
          <w:b/>
        </w:rPr>
      </w:pPr>
      <w:r w:rsidRPr="001338E8">
        <w:rPr>
          <w:lang w:val="nl-NL"/>
        </w:rPr>
        <w:t xml:space="preserve">Ủy ban nhân dân </w:t>
      </w:r>
      <w:r w:rsidR="00304D3C" w:rsidRPr="001338E8">
        <w:rPr>
          <w:lang w:val="nl-NL"/>
        </w:rPr>
        <w:t xml:space="preserve">tỉnh </w:t>
      </w:r>
      <w:r w:rsidRPr="001338E8">
        <w:rPr>
          <w:lang w:val="nl-NL"/>
        </w:rPr>
        <w:t xml:space="preserve">kính </w:t>
      </w:r>
      <w:r w:rsidR="00304D3C" w:rsidRPr="001338E8">
        <w:rPr>
          <w:lang w:val="nl-NL"/>
        </w:rPr>
        <w:t xml:space="preserve">trình Hội đồng nhân dân tỉnh </w:t>
      </w:r>
      <w:r w:rsidRPr="001338E8">
        <w:rPr>
          <w:lang w:val="nl-NL"/>
        </w:rPr>
        <w:t>xem xét</w:t>
      </w:r>
      <w:r w:rsidR="00781B5E" w:rsidRPr="001338E8">
        <w:t>./.</w:t>
      </w:r>
    </w:p>
    <w:p w14:paraId="1B24D25B" w14:textId="77777777" w:rsidR="00781B5E" w:rsidRPr="001338E8" w:rsidRDefault="00781B5E" w:rsidP="00781B5E">
      <w:pPr>
        <w:jc w:val="both"/>
        <w:rPr>
          <w:bCs/>
        </w:rPr>
      </w:pPr>
    </w:p>
    <w:tbl>
      <w:tblPr>
        <w:tblW w:w="0" w:type="auto"/>
        <w:tblCellMar>
          <w:left w:w="0" w:type="dxa"/>
          <w:right w:w="0" w:type="dxa"/>
        </w:tblCellMar>
        <w:tblLook w:val="0000" w:firstRow="0" w:lastRow="0" w:firstColumn="0" w:lastColumn="0" w:noHBand="0" w:noVBand="0"/>
      </w:tblPr>
      <w:tblGrid>
        <w:gridCol w:w="4238"/>
        <w:gridCol w:w="5050"/>
      </w:tblGrid>
      <w:tr w:rsidR="001338E8" w:rsidRPr="001338E8" w14:paraId="7B52DE32" w14:textId="77777777" w:rsidTr="00BF08C0">
        <w:tc>
          <w:tcPr>
            <w:tcW w:w="4238" w:type="dxa"/>
            <w:tcMar>
              <w:top w:w="0" w:type="dxa"/>
              <w:left w:w="108" w:type="dxa"/>
              <w:bottom w:w="0" w:type="dxa"/>
              <w:right w:w="108" w:type="dxa"/>
            </w:tcMar>
          </w:tcPr>
          <w:p w14:paraId="6EA6B4C3" w14:textId="77777777" w:rsidR="008405C5" w:rsidRPr="001338E8" w:rsidRDefault="008405C5" w:rsidP="008405C5">
            <w:pPr>
              <w:rPr>
                <w:b/>
                <w:i/>
                <w:sz w:val="24"/>
                <w:szCs w:val="24"/>
              </w:rPr>
            </w:pPr>
            <w:r w:rsidRPr="001338E8">
              <w:rPr>
                <w:b/>
                <w:i/>
                <w:sz w:val="24"/>
                <w:szCs w:val="24"/>
              </w:rPr>
              <w:t xml:space="preserve">Nơi nhận:      </w:t>
            </w:r>
          </w:p>
          <w:p w14:paraId="0C719687" w14:textId="77777777" w:rsidR="008405C5" w:rsidRPr="001338E8" w:rsidRDefault="008405C5" w:rsidP="008405C5">
            <w:pPr>
              <w:rPr>
                <w:sz w:val="22"/>
                <w:szCs w:val="22"/>
              </w:rPr>
            </w:pPr>
            <w:r w:rsidRPr="001338E8">
              <w:rPr>
                <w:sz w:val="22"/>
                <w:szCs w:val="22"/>
              </w:rPr>
              <w:t>- HĐND tỉnh (để trình);</w:t>
            </w:r>
          </w:p>
          <w:p w14:paraId="7CA86BEA" w14:textId="77777777" w:rsidR="008405C5" w:rsidRPr="001338E8" w:rsidRDefault="008405C5" w:rsidP="008405C5">
            <w:pPr>
              <w:rPr>
                <w:sz w:val="22"/>
                <w:szCs w:val="22"/>
              </w:rPr>
            </w:pPr>
            <w:r w:rsidRPr="001338E8">
              <w:rPr>
                <w:sz w:val="22"/>
                <w:szCs w:val="22"/>
              </w:rPr>
              <w:t>- CT, các PCT UBND tỉnh;</w:t>
            </w:r>
          </w:p>
          <w:p w14:paraId="6440FD05" w14:textId="77777777" w:rsidR="008405C5" w:rsidRPr="001338E8" w:rsidRDefault="008405C5" w:rsidP="008405C5">
            <w:pPr>
              <w:rPr>
                <w:sz w:val="22"/>
                <w:szCs w:val="22"/>
              </w:rPr>
            </w:pPr>
            <w:r w:rsidRPr="001338E8">
              <w:rPr>
                <w:sz w:val="22"/>
                <w:szCs w:val="22"/>
              </w:rPr>
              <w:t xml:space="preserve">- Sở TN&amp;MT; </w:t>
            </w:r>
          </w:p>
          <w:p w14:paraId="2C37A353" w14:textId="77777777" w:rsidR="008405C5" w:rsidRPr="001338E8" w:rsidRDefault="008405C5" w:rsidP="008405C5">
            <w:pPr>
              <w:rPr>
                <w:sz w:val="22"/>
                <w:szCs w:val="22"/>
              </w:rPr>
            </w:pPr>
            <w:r w:rsidRPr="001338E8">
              <w:rPr>
                <w:sz w:val="22"/>
                <w:szCs w:val="22"/>
              </w:rPr>
              <w:t>- LĐ VP UBND tỉnh;</w:t>
            </w:r>
          </w:p>
          <w:p w14:paraId="6D818051" w14:textId="043C1D1C" w:rsidR="00142936" w:rsidRPr="001338E8" w:rsidRDefault="008405C5" w:rsidP="006B4EA2">
            <w:r w:rsidRPr="001338E8">
              <w:rPr>
                <w:sz w:val="22"/>
                <w:szCs w:val="22"/>
              </w:rPr>
              <w:t>- Lưu: VT, NN.</w:t>
            </w:r>
            <w:r w:rsidRPr="001338E8">
              <w:t xml:space="preserve">   </w:t>
            </w:r>
          </w:p>
        </w:tc>
        <w:tc>
          <w:tcPr>
            <w:tcW w:w="5050" w:type="dxa"/>
            <w:tcMar>
              <w:top w:w="0" w:type="dxa"/>
              <w:left w:w="108" w:type="dxa"/>
              <w:bottom w:w="0" w:type="dxa"/>
              <w:right w:w="108" w:type="dxa"/>
            </w:tcMar>
          </w:tcPr>
          <w:p w14:paraId="3FC6A15D" w14:textId="77777777" w:rsidR="00142936" w:rsidRPr="001338E8" w:rsidRDefault="00306A90" w:rsidP="00306A90">
            <w:pPr>
              <w:jc w:val="center"/>
              <w:rPr>
                <w:b/>
                <w:bCs/>
              </w:rPr>
            </w:pPr>
            <w:r w:rsidRPr="001338E8">
              <w:rPr>
                <w:b/>
                <w:bCs/>
              </w:rPr>
              <w:t>TM. ỦY BAN NHÂN DÂN</w:t>
            </w:r>
          </w:p>
          <w:p w14:paraId="4353A7A3" w14:textId="1EF817ED" w:rsidR="00306A90" w:rsidRPr="001338E8" w:rsidRDefault="00306A90" w:rsidP="00BF08C0">
            <w:pPr>
              <w:jc w:val="center"/>
            </w:pPr>
            <w:r w:rsidRPr="001338E8">
              <w:rPr>
                <w:b/>
                <w:bCs/>
              </w:rPr>
              <w:t>CHỦ TỊCH</w:t>
            </w:r>
          </w:p>
        </w:tc>
      </w:tr>
    </w:tbl>
    <w:p w14:paraId="2303FA0D" w14:textId="77777777" w:rsidR="00306A90" w:rsidRPr="001338E8" w:rsidRDefault="00306A90" w:rsidP="006B4EA2"/>
    <w:sectPr w:rsidR="00306A90" w:rsidRPr="001338E8" w:rsidSect="0010610A">
      <w:headerReference w:type="default" r:id="rId9"/>
      <w:footerReference w:type="default" r:id="rId10"/>
      <w:pgSz w:w="11907" w:h="16839"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17A47" w14:textId="77777777" w:rsidR="00D04E4B" w:rsidRDefault="00D04E4B" w:rsidP="00F444A6">
      <w:r>
        <w:separator/>
      </w:r>
    </w:p>
  </w:endnote>
  <w:endnote w:type="continuationSeparator" w:id="0">
    <w:p w14:paraId="29A838CA" w14:textId="77777777" w:rsidR="00D04E4B" w:rsidRDefault="00D04E4B" w:rsidP="00F4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88DE" w14:textId="021DD7C9" w:rsidR="004D1814" w:rsidRDefault="004D1814">
    <w:pPr>
      <w:pStyle w:val="Footer"/>
      <w:jc w:val="center"/>
    </w:pPr>
  </w:p>
  <w:p w14:paraId="659898C5" w14:textId="77777777" w:rsidR="004D1814" w:rsidRDefault="004D1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799A9" w14:textId="77777777" w:rsidR="00D04E4B" w:rsidRDefault="00D04E4B" w:rsidP="00F444A6">
      <w:r>
        <w:separator/>
      </w:r>
    </w:p>
  </w:footnote>
  <w:footnote w:type="continuationSeparator" w:id="0">
    <w:p w14:paraId="39D8689F" w14:textId="77777777" w:rsidR="00D04E4B" w:rsidRDefault="00D04E4B" w:rsidP="00F4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90621"/>
      <w:docPartObj>
        <w:docPartGallery w:val="Page Numbers (Top of Page)"/>
        <w:docPartUnique/>
      </w:docPartObj>
    </w:sdtPr>
    <w:sdtEndPr>
      <w:rPr>
        <w:noProof/>
      </w:rPr>
    </w:sdtEndPr>
    <w:sdtContent>
      <w:p w14:paraId="67285905" w14:textId="6A723A16" w:rsidR="0010610A" w:rsidRDefault="0010610A" w:rsidP="0010610A">
        <w:pPr>
          <w:pStyle w:val="Header"/>
          <w:jc w:val="center"/>
        </w:pPr>
        <w:r>
          <w:fldChar w:fldCharType="begin"/>
        </w:r>
        <w:r>
          <w:instrText xml:space="preserve"> PAGE   \* MERGEFORMAT </w:instrText>
        </w:r>
        <w:r>
          <w:fldChar w:fldCharType="separate"/>
        </w:r>
        <w:r w:rsidR="00D2742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4196"/>
    <w:multiLevelType w:val="hybridMultilevel"/>
    <w:tmpl w:val="2C80AF32"/>
    <w:lvl w:ilvl="0" w:tplc="3A902BFE">
      <w:start w:val="9"/>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6"/>
    <w:rsid w:val="00001E94"/>
    <w:rsid w:val="00021024"/>
    <w:rsid w:val="00023E59"/>
    <w:rsid w:val="00035E1F"/>
    <w:rsid w:val="00036E54"/>
    <w:rsid w:val="000400B2"/>
    <w:rsid w:val="00041C5F"/>
    <w:rsid w:val="00042827"/>
    <w:rsid w:val="000703B5"/>
    <w:rsid w:val="00070DF6"/>
    <w:rsid w:val="0007537A"/>
    <w:rsid w:val="000874D5"/>
    <w:rsid w:val="00096538"/>
    <w:rsid w:val="000A1FF3"/>
    <w:rsid w:val="000B5450"/>
    <w:rsid w:val="000B7D24"/>
    <w:rsid w:val="000D19C9"/>
    <w:rsid w:val="000D23C9"/>
    <w:rsid w:val="000D2959"/>
    <w:rsid w:val="000D2C9C"/>
    <w:rsid w:val="000F31BE"/>
    <w:rsid w:val="00100FAA"/>
    <w:rsid w:val="0010465D"/>
    <w:rsid w:val="0010610A"/>
    <w:rsid w:val="0011083B"/>
    <w:rsid w:val="001219AD"/>
    <w:rsid w:val="0012259D"/>
    <w:rsid w:val="00131B08"/>
    <w:rsid w:val="001338E8"/>
    <w:rsid w:val="00134260"/>
    <w:rsid w:val="0013463F"/>
    <w:rsid w:val="00142936"/>
    <w:rsid w:val="0016316C"/>
    <w:rsid w:val="00163ABD"/>
    <w:rsid w:val="00166D43"/>
    <w:rsid w:val="001679D3"/>
    <w:rsid w:val="001723BF"/>
    <w:rsid w:val="00175AF4"/>
    <w:rsid w:val="0017745B"/>
    <w:rsid w:val="00177827"/>
    <w:rsid w:val="00177B38"/>
    <w:rsid w:val="001B5A6C"/>
    <w:rsid w:val="001C6A8F"/>
    <w:rsid w:val="0020167A"/>
    <w:rsid w:val="0020190E"/>
    <w:rsid w:val="00204239"/>
    <w:rsid w:val="0021065F"/>
    <w:rsid w:val="00223489"/>
    <w:rsid w:val="00223A23"/>
    <w:rsid w:val="002350CF"/>
    <w:rsid w:val="00247FE6"/>
    <w:rsid w:val="00255836"/>
    <w:rsid w:val="00260DEB"/>
    <w:rsid w:val="0026137C"/>
    <w:rsid w:val="002616B6"/>
    <w:rsid w:val="00261E7C"/>
    <w:rsid w:val="00262C02"/>
    <w:rsid w:val="0026303F"/>
    <w:rsid w:val="00272FAB"/>
    <w:rsid w:val="00273B06"/>
    <w:rsid w:val="00282DDE"/>
    <w:rsid w:val="00283713"/>
    <w:rsid w:val="00292316"/>
    <w:rsid w:val="002A0CD2"/>
    <w:rsid w:val="002B3CB4"/>
    <w:rsid w:val="002B6D9C"/>
    <w:rsid w:val="002B7D6B"/>
    <w:rsid w:val="002C6926"/>
    <w:rsid w:val="002D2779"/>
    <w:rsid w:val="002D2B6E"/>
    <w:rsid w:val="002D512D"/>
    <w:rsid w:val="002D6C41"/>
    <w:rsid w:val="002F0C23"/>
    <w:rsid w:val="002F38A1"/>
    <w:rsid w:val="002F3FAF"/>
    <w:rsid w:val="002F454E"/>
    <w:rsid w:val="00304D3C"/>
    <w:rsid w:val="00306A90"/>
    <w:rsid w:val="00311079"/>
    <w:rsid w:val="003110EB"/>
    <w:rsid w:val="0031169E"/>
    <w:rsid w:val="00316DE8"/>
    <w:rsid w:val="0032564E"/>
    <w:rsid w:val="0033135E"/>
    <w:rsid w:val="0034050F"/>
    <w:rsid w:val="00355E6D"/>
    <w:rsid w:val="00372097"/>
    <w:rsid w:val="003A402E"/>
    <w:rsid w:val="003B640D"/>
    <w:rsid w:val="003C14B4"/>
    <w:rsid w:val="003D1859"/>
    <w:rsid w:val="003D38E7"/>
    <w:rsid w:val="003D7A57"/>
    <w:rsid w:val="003E0EA8"/>
    <w:rsid w:val="003E3EE1"/>
    <w:rsid w:val="003E4DF7"/>
    <w:rsid w:val="003F519A"/>
    <w:rsid w:val="004010FF"/>
    <w:rsid w:val="00401AB9"/>
    <w:rsid w:val="004047B0"/>
    <w:rsid w:val="00410670"/>
    <w:rsid w:val="00413476"/>
    <w:rsid w:val="00415D56"/>
    <w:rsid w:val="00420623"/>
    <w:rsid w:val="004409A2"/>
    <w:rsid w:val="00442F13"/>
    <w:rsid w:val="00443705"/>
    <w:rsid w:val="00453CE9"/>
    <w:rsid w:val="00457927"/>
    <w:rsid w:val="004664AA"/>
    <w:rsid w:val="0048055F"/>
    <w:rsid w:val="00480A55"/>
    <w:rsid w:val="00482331"/>
    <w:rsid w:val="00490FE9"/>
    <w:rsid w:val="00492C3B"/>
    <w:rsid w:val="00495291"/>
    <w:rsid w:val="004A13D3"/>
    <w:rsid w:val="004A408C"/>
    <w:rsid w:val="004A785C"/>
    <w:rsid w:val="004B4FF2"/>
    <w:rsid w:val="004B66E6"/>
    <w:rsid w:val="004D118F"/>
    <w:rsid w:val="004D1814"/>
    <w:rsid w:val="004D362E"/>
    <w:rsid w:val="004E655F"/>
    <w:rsid w:val="004F0E9C"/>
    <w:rsid w:val="005011EF"/>
    <w:rsid w:val="00501A97"/>
    <w:rsid w:val="0051340A"/>
    <w:rsid w:val="00513E95"/>
    <w:rsid w:val="0052032B"/>
    <w:rsid w:val="00526C9A"/>
    <w:rsid w:val="00532B5D"/>
    <w:rsid w:val="005354B3"/>
    <w:rsid w:val="00551A15"/>
    <w:rsid w:val="00557653"/>
    <w:rsid w:val="00583496"/>
    <w:rsid w:val="00586255"/>
    <w:rsid w:val="005865FD"/>
    <w:rsid w:val="00590C25"/>
    <w:rsid w:val="005B135C"/>
    <w:rsid w:val="005B2A53"/>
    <w:rsid w:val="005B3678"/>
    <w:rsid w:val="005B510C"/>
    <w:rsid w:val="005C6598"/>
    <w:rsid w:val="005E0C1D"/>
    <w:rsid w:val="00606C98"/>
    <w:rsid w:val="006117D0"/>
    <w:rsid w:val="00612AB9"/>
    <w:rsid w:val="0062661F"/>
    <w:rsid w:val="0063138C"/>
    <w:rsid w:val="00632FCF"/>
    <w:rsid w:val="0064019D"/>
    <w:rsid w:val="006653E7"/>
    <w:rsid w:val="0066728A"/>
    <w:rsid w:val="006673B4"/>
    <w:rsid w:val="00667B7C"/>
    <w:rsid w:val="006826FE"/>
    <w:rsid w:val="00684266"/>
    <w:rsid w:val="006963F6"/>
    <w:rsid w:val="006B4834"/>
    <w:rsid w:val="006B4EA2"/>
    <w:rsid w:val="006D0BF0"/>
    <w:rsid w:val="006E1A78"/>
    <w:rsid w:val="006F30AA"/>
    <w:rsid w:val="007054E3"/>
    <w:rsid w:val="00711EA5"/>
    <w:rsid w:val="0072368E"/>
    <w:rsid w:val="007320DC"/>
    <w:rsid w:val="00736264"/>
    <w:rsid w:val="0073657B"/>
    <w:rsid w:val="00743C6D"/>
    <w:rsid w:val="0076075E"/>
    <w:rsid w:val="007627E1"/>
    <w:rsid w:val="00763604"/>
    <w:rsid w:val="007640E2"/>
    <w:rsid w:val="00772AED"/>
    <w:rsid w:val="00781B5E"/>
    <w:rsid w:val="007A1BED"/>
    <w:rsid w:val="007B2B5E"/>
    <w:rsid w:val="007C2A8E"/>
    <w:rsid w:val="007C7015"/>
    <w:rsid w:val="007D13DD"/>
    <w:rsid w:val="007E04B1"/>
    <w:rsid w:val="007F0B37"/>
    <w:rsid w:val="007F1D8D"/>
    <w:rsid w:val="007F5E01"/>
    <w:rsid w:val="008026CA"/>
    <w:rsid w:val="0080460D"/>
    <w:rsid w:val="00804A53"/>
    <w:rsid w:val="00821590"/>
    <w:rsid w:val="0082191B"/>
    <w:rsid w:val="00824DD7"/>
    <w:rsid w:val="00827307"/>
    <w:rsid w:val="008355F1"/>
    <w:rsid w:val="008405C5"/>
    <w:rsid w:val="00844320"/>
    <w:rsid w:val="00852971"/>
    <w:rsid w:val="00856EF5"/>
    <w:rsid w:val="00857859"/>
    <w:rsid w:val="00862234"/>
    <w:rsid w:val="00862C4A"/>
    <w:rsid w:val="008743EE"/>
    <w:rsid w:val="00887A56"/>
    <w:rsid w:val="00890BBC"/>
    <w:rsid w:val="00892E1B"/>
    <w:rsid w:val="00893DA5"/>
    <w:rsid w:val="008A5CD3"/>
    <w:rsid w:val="008B0C04"/>
    <w:rsid w:val="008C25F0"/>
    <w:rsid w:val="008C2CE2"/>
    <w:rsid w:val="008C316A"/>
    <w:rsid w:val="008C77E6"/>
    <w:rsid w:val="008D1B02"/>
    <w:rsid w:val="008D5848"/>
    <w:rsid w:val="008D7DBC"/>
    <w:rsid w:val="008E1DD7"/>
    <w:rsid w:val="008E4F87"/>
    <w:rsid w:val="008F249D"/>
    <w:rsid w:val="008F3B19"/>
    <w:rsid w:val="00901F01"/>
    <w:rsid w:val="0091315E"/>
    <w:rsid w:val="009216EE"/>
    <w:rsid w:val="009221CA"/>
    <w:rsid w:val="00944D3C"/>
    <w:rsid w:val="0094741B"/>
    <w:rsid w:val="00953F55"/>
    <w:rsid w:val="00965B2C"/>
    <w:rsid w:val="00967E1A"/>
    <w:rsid w:val="00981392"/>
    <w:rsid w:val="00990CDC"/>
    <w:rsid w:val="009A170A"/>
    <w:rsid w:val="009A18A4"/>
    <w:rsid w:val="009A7405"/>
    <w:rsid w:val="009B6352"/>
    <w:rsid w:val="009C23DC"/>
    <w:rsid w:val="009C3E74"/>
    <w:rsid w:val="009C4019"/>
    <w:rsid w:val="009C54AB"/>
    <w:rsid w:val="009D2F2F"/>
    <w:rsid w:val="009E4E4E"/>
    <w:rsid w:val="009F14D1"/>
    <w:rsid w:val="009F5BF3"/>
    <w:rsid w:val="009F6BF3"/>
    <w:rsid w:val="00A25CBA"/>
    <w:rsid w:val="00A268DF"/>
    <w:rsid w:val="00A302C6"/>
    <w:rsid w:val="00A33FE2"/>
    <w:rsid w:val="00A42FE8"/>
    <w:rsid w:val="00A433EF"/>
    <w:rsid w:val="00A46EBB"/>
    <w:rsid w:val="00A50F80"/>
    <w:rsid w:val="00A51712"/>
    <w:rsid w:val="00A52765"/>
    <w:rsid w:val="00A53EBA"/>
    <w:rsid w:val="00A657E3"/>
    <w:rsid w:val="00A66FBB"/>
    <w:rsid w:val="00A716ED"/>
    <w:rsid w:val="00A7281C"/>
    <w:rsid w:val="00A73360"/>
    <w:rsid w:val="00A800F5"/>
    <w:rsid w:val="00AA01E1"/>
    <w:rsid w:val="00AA0439"/>
    <w:rsid w:val="00AA3470"/>
    <w:rsid w:val="00AC246A"/>
    <w:rsid w:val="00AD0618"/>
    <w:rsid w:val="00AD1C96"/>
    <w:rsid w:val="00AE0A98"/>
    <w:rsid w:val="00AF562D"/>
    <w:rsid w:val="00AF730E"/>
    <w:rsid w:val="00B009E1"/>
    <w:rsid w:val="00B043AE"/>
    <w:rsid w:val="00B07A54"/>
    <w:rsid w:val="00B1414C"/>
    <w:rsid w:val="00B21D5D"/>
    <w:rsid w:val="00B27BBE"/>
    <w:rsid w:val="00B355EB"/>
    <w:rsid w:val="00B61C0D"/>
    <w:rsid w:val="00B64C32"/>
    <w:rsid w:val="00B80627"/>
    <w:rsid w:val="00B81C6B"/>
    <w:rsid w:val="00B84663"/>
    <w:rsid w:val="00B87C14"/>
    <w:rsid w:val="00B92765"/>
    <w:rsid w:val="00BA0EFD"/>
    <w:rsid w:val="00BA45BC"/>
    <w:rsid w:val="00BA571C"/>
    <w:rsid w:val="00BB19F6"/>
    <w:rsid w:val="00BC33A2"/>
    <w:rsid w:val="00BD4DB8"/>
    <w:rsid w:val="00BF08C0"/>
    <w:rsid w:val="00C00158"/>
    <w:rsid w:val="00C01EDE"/>
    <w:rsid w:val="00C0566A"/>
    <w:rsid w:val="00C1494D"/>
    <w:rsid w:val="00C22F63"/>
    <w:rsid w:val="00C30762"/>
    <w:rsid w:val="00C52E46"/>
    <w:rsid w:val="00C54435"/>
    <w:rsid w:val="00C57EFA"/>
    <w:rsid w:val="00C639DD"/>
    <w:rsid w:val="00C735B9"/>
    <w:rsid w:val="00C756EB"/>
    <w:rsid w:val="00C759D3"/>
    <w:rsid w:val="00C81A88"/>
    <w:rsid w:val="00C82D0A"/>
    <w:rsid w:val="00C83D31"/>
    <w:rsid w:val="00C8571A"/>
    <w:rsid w:val="00C93F80"/>
    <w:rsid w:val="00C94BAA"/>
    <w:rsid w:val="00CA2A6F"/>
    <w:rsid w:val="00CB22AF"/>
    <w:rsid w:val="00CB647D"/>
    <w:rsid w:val="00CC0C10"/>
    <w:rsid w:val="00CC5459"/>
    <w:rsid w:val="00CC6923"/>
    <w:rsid w:val="00CE7D2A"/>
    <w:rsid w:val="00CF72CD"/>
    <w:rsid w:val="00D00064"/>
    <w:rsid w:val="00D013D4"/>
    <w:rsid w:val="00D01C59"/>
    <w:rsid w:val="00D02735"/>
    <w:rsid w:val="00D04E4B"/>
    <w:rsid w:val="00D064AA"/>
    <w:rsid w:val="00D12E25"/>
    <w:rsid w:val="00D1411F"/>
    <w:rsid w:val="00D15C2C"/>
    <w:rsid w:val="00D20732"/>
    <w:rsid w:val="00D2446E"/>
    <w:rsid w:val="00D27425"/>
    <w:rsid w:val="00D411B7"/>
    <w:rsid w:val="00D513A7"/>
    <w:rsid w:val="00D526DB"/>
    <w:rsid w:val="00D549FF"/>
    <w:rsid w:val="00D60588"/>
    <w:rsid w:val="00D612D0"/>
    <w:rsid w:val="00D63260"/>
    <w:rsid w:val="00D63D8C"/>
    <w:rsid w:val="00D64464"/>
    <w:rsid w:val="00D91007"/>
    <w:rsid w:val="00DA05EA"/>
    <w:rsid w:val="00DA3135"/>
    <w:rsid w:val="00DB25C9"/>
    <w:rsid w:val="00DC1A9C"/>
    <w:rsid w:val="00DC7C2C"/>
    <w:rsid w:val="00DD1027"/>
    <w:rsid w:val="00DE0269"/>
    <w:rsid w:val="00DE10A2"/>
    <w:rsid w:val="00DF0344"/>
    <w:rsid w:val="00DF290D"/>
    <w:rsid w:val="00DF50E8"/>
    <w:rsid w:val="00E002D3"/>
    <w:rsid w:val="00E0279B"/>
    <w:rsid w:val="00E12DD6"/>
    <w:rsid w:val="00E12F07"/>
    <w:rsid w:val="00E13CA3"/>
    <w:rsid w:val="00E2730F"/>
    <w:rsid w:val="00E369E3"/>
    <w:rsid w:val="00E465B4"/>
    <w:rsid w:val="00E5032A"/>
    <w:rsid w:val="00E62F3A"/>
    <w:rsid w:val="00EA185B"/>
    <w:rsid w:val="00EA2CBA"/>
    <w:rsid w:val="00EB2B56"/>
    <w:rsid w:val="00EB676C"/>
    <w:rsid w:val="00EB733A"/>
    <w:rsid w:val="00EB7B8B"/>
    <w:rsid w:val="00ED104C"/>
    <w:rsid w:val="00EE1884"/>
    <w:rsid w:val="00EE387E"/>
    <w:rsid w:val="00EE43BD"/>
    <w:rsid w:val="00EE4A73"/>
    <w:rsid w:val="00EE4C5B"/>
    <w:rsid w:val="00EF43AC"/>
    <w:rsid w:val="00EF51CD"/>
    <w:rsid w:val="00EF5E8C"/>
    <w:rsid w:val="00F11A3B"/>
    <w:rsid w:val="00F11D8F"/>
    <w:rsid w:val="00F31C41"/>
    <w:rsid w:val="00F32ECE"/>
    <w:rsid w:val="00F4370B"/>
    <w:rsid w:val="00F442B6"/>
    <w:rsid w:val="00F444A6"/>
    <w:rsid w:val="00F611E5"/>
    <w:rsid w:val="00F62E70"/>
    <w:rsid w:val="00F65768"/>
    <w:rsid w:val="00F73286"/>
    <w:rsid w:val="00F7359D"/>
    <w:rsid w:val="00F815C2"/>
    <w:rsid w:val="00F82341"/>
    <w:rsid w:val="00F83E50"/>
    <w:rsid w:val="00F92491"/>
    <w:rsid w:val="00FA0113"/>
    <w:rsid w:val="00FA147E"/>
    <w:rsid w:val="00FB02B9"/>
    <w:rsid w:val="00FC4985"/>
    <w:rsid w:val="00FD3965"/>
    <w:rsid w:val="00FD3E10"/>
    <w:rsid w:val="00FE211B"/>
    <w:rsid w:val="00FE4D16"/>
    <w:rsid w:val="00FF344B"/>
    <w:rsid w:val="00FF3784"/>
    <w:rsid w:val="00FF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6"/>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rsid w:val="00E5032A"/>
    <w:pPr>
      <w:keepNext/>
      <w:keepLines/>
      <w:widowControl w:val="0"/>
      <w:suppressAutoHyphens/>
      <w:autoSpaceDN w:val="0"/>
      <w:spacing w:before="200"/>
      <w:textAlignment w:val="baseline"/>
      <w:outlineLvl w:val="2"/>
    </w:pPr>
    <w:rPr>
      <w:rFonts w:ascii="Cambria" w:hAnsi="Cambria" w:cs="Mangal"/>
      <w:b/>
      <w:bCs/>
      <w:color w:val="4F81BD"/>
      <w:kern w:val="3"/>
      <w:sz w:val="24"/>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32A"/>
    <w:rPr>
      <w:rFonts w:ascii="Cambria" w:eastAsia="Times New Roman" w:hAnsi="Cambria" w:cs="Mangal"/>
      <w:b/>
      <w:bCs/>
      <w:color w:val="4F81BD"/>
      <w:kern w:val="3"/>
      <w:sz w:val="24"/>
      <w:szCs w:val="21"/>
      <w:lang w:eastAsia="zh-CN" w:bidi="hi-IN"/>
    </w:rPr>
  </w:style>
  <w:style w:type="paragraph" w:styleId="BodyTextIndent">
    <w:name w:val="Body Text Indent"/>
    <w:basedOn w:val="Normal"/>
    <w:link w:val="BodyTextIndentChar"/>
    <w:rsid w:val="00142936"/>
    <w:pPr>
      <w:spacing w:after="120"/>
      <w:ind w:left="360"/>
    </w:pPr>
    <w:rPr>
      <w:sz w:val="24"/>
      <w:szCs w:val="24"/>
    </w:rPr>
  </w:style>
  <w:style w:type="character" w:customStyle="1" w:styleId="BodyTextIndentChar">
    <w:name w:val="Body Text Indent Char"/>
    <w:basedOn w:val="DefaultParagraphFont"/>
    <w:link w:val="BodyTextIndent"/>
    <w:rsid w:val="00142936"/>
    <w:rPr>
      <w:rFonts w:ascii="Times New Roman" w:eastAsia="Times New Roman" w:hAnsi="Times New Roman" w:cs="Times New Roman"/>
      <w:sz w:val="24"/>
      <w:szCs w:val="24"/>
    </w:rPr>
  </w:style>
  <w:style w:type="paragraph" w:customStyle="1" w:styleId="Char">
    <w:name w:val="Char"/>
    <w:basedOn w:val="Normal"/>
    <w:semiHidden/>
    <w:rsid w:val="00142936"/>
    <w:pPr>
      <w:spacing w:after="160" w:line="240" w:lineRule="exact"/>
    </w:pPr>
    <w:rPr>
      <w:rFonts w:ascii="Arial" w:hAnsi="Arial"/>
      <w:sz w:val="22"/>
      <w:szCs w:val="22"/>
    </w:rPr>
  </w:style>
  <w:style w:type="paragraph" w:styleId="NormalWeb">
    <w:name w:val="Normal (Web)"/>
    <w:basedOn w:val="Normal"/>
    <w:uiPriority w:val="99"/>
    <w:rsid w:val="00E5032A"/>
    <w:pPr>
      <w:autoSpaceDN w:val="0"/>
      <w:spacing w:before="100" w:after="100"/>
    </w:pPr>
    <w:rPr>
      <w:sz w:val="24"/>
      <w:szCs w:val="24"/>
    </w:rPr>
  </w:style>
  <w:style w:type="paragraph" w:customStyle="1" w:styleId="Textbody">
    <w:name w:val="Text body"/>
    <w:basedOn w:val="Normal"/>
    <w:rsid w:val="006F30AA"/>
    <w:pPr>
      <w:widowControl w:val="0"/>
      <w:suppressAutoHyphens/>
      <w:autoSpaceDN w:val="0"/>
      <w:spacing w:after="120"/>
      <w:textAlignment w:val="baseline"/>
    </w:pPr>
    <w:rPr>
      <w:rFonts w:eastAsia="Arial Unicode MS" w:cs="Mangal"/>
      <w:kern w:val="3"/>
      <w:sz w:val="24"/>
      <w:szCs w:val="24"/>
      <w:lang w:eastAsia="zh-CN" w:bidi="hi-IN"/>
    </w:rPr>
  </w:style>
  <w:style w:type="paragraph" w:styleId="Header">
    <w:name w:val="header"/>
    <w:basedOn w:val="Normal"/>
    <w:link w:val="HeaderChar"/>
    <w:uiPriority w:val="99"/>
    <w:unhideWhenUsed/>
    <w:rsid w:val="00F444A6"/>
    <w:pPr>
      <w:tabs>
        <w:tab w:val="center" w:pos="4680"/>
        <w:tab w:val="right" w:pos="9360"/>
      </w:tabs>
    </w:pPr>
  </w:style>
  <w:style w:type="character" w:customStyle="1" w:styleId="HeaderChar">
    <w:name w:val="Header Char"/>
    <w:basedOn w:val="DefaultParagraphFont"/>
    <w:link w:val="Header"/>
    <w:uiPriority w:val="99"/>
    <w:rsid w:val="00F444A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44A6"/>
    <w:pPr>
      <w:tabs>
        <w:tab w:val="center" w:pos="4680"/>
        <w:tab w:val="right" w:pos="9360"/>
      </w:tabs>
    </w:pPr>
  </w:style>
  <w:style w:type="character" w:customStyle="1" w:styleId="FooterChar">
    <w:name w:val="Footer Char"/>
    <w:basedOn w:val="DefaultParagraphFont"/>
    <w:link w:val="Footer"/>
    <w:uiPriority w:val="99"/>
    <w:rsid w:val="00F444A6"/>
    <w:rPr>
      <w:rFonts w:ascii="Times New Roman" w:eastAsia="Times New Roman" w:hAnsi="Times New Roman" w:cs="Times New Roman"/>
      <w:sz w:val="28"/>
      <w:szCs w:val="28"/>
    </w:rPr>
  </w:style>
  <w:style w:type="paragraph" w:styleId="ListParagraph">
    <w:name w:val="List Paragraph"/>
    <w:basedOn w:val="Normal"/>
    <w:uiPriority w:val="34"/>
    <w:qFormat/>
    <w:rsid w:val="00204239"/>
    <w:pPr>
      <w:ind w:left="720"/>
      <w:contextualSpacing/>
    </w:pPr>
  </w:style>
  <w:style w:type="paragraph" w:styleId="BalloonText">
    <w:name w:val="Balloon Text"/>
    <w:basedOn w:val="Normal"/>
    <w:link w:val="BalloonTextChar"/>
    <w:uiPriority w:val="99"/>
    <w:semiHidden/>
    <w:unhideWhenUsed/>
    <w:rsid w:val="00ED104C"/>
    <w:rPr>
      <w:rFonts w:ascii="Tahoma" w:hAnsi="Tahoma" w:cs="Tahoma"/>
      <w:sz w:val="16"/>
      <w:szCs w:val="16"/>
    </w:rPr>
  </w:style>
  <w:style w:type="character" w:customStyle="1" w:styleId="BalloonTextChar">
    <w:name w:val="Balloon Text Char"/>
    <w:basedOn w:val="DefaultParagraphFont"/>
    <w:link w:val="BalloonText"/>
    <w:uiPriority w:val="99"/>
    <w:semiHidden/>
    <w:rsid w:val="00ED104C"/>
    <w:rPr>
      <w:rFonts w:ascii="Tahoma" w:eastAsia="Times New Roman" w:hAnsi="Tahoma" w:cs="Tahoma"/>
      <w:sz w:val="16"/>
      <w:szCs w:val="16"/>
    </w:rPr>
  </w:style>
  <w:style w:type="character" w:customStyle="1" w:styleId="fontstyle01">
    <w:name w:val="fontstyle01"/>
    <w:basedOn w:val="DefaultParagraphFont"/>
    <w:rsid w:val="000B7D24"/>
    <w:rPr>
      <w:rFonts w:ascii="Helvetica" w:hAnsi="Helvetica" w:cs="Helvetica" w:hint="default"/>
      <w:b w:val="0"/>
      <w:bCs w:val="0"/>
      <w:i w:val="0"/>
      <w:iCs w:val="0"/>
      <w:color w:val="000000"/>
      <w:sz w:val="24"/>
      <w:szCs w:val="24"/>
    </w:rPr>
  </w:style>
  <w:style w:type="character" w:customStyle="1" w:styleId="CommentTextChar">
    <w:name w:val="Comment Text Char"/>
    <w:basedOn w:val="DefaultParagraphFont"/>
    <w:link w:val="CommentText"/>
    <w:uiPriority w:val="99"/>
    <w:semiHidden/>
    <w:rsid w:val="004D181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D1814"/>
    <w:rPr>
      <w:sz w:val="20"/>
      <w:szCs w:val="20"/>
    </w:rPr>
  </w:style>
  <w:style w:type="character" w:customStyle="1" w:styleId="CommentSubjectChar">
    <w:name w:val="Comment Subject Char"/>
    <w:basedOn w:val="CommentTextChar"/>
    <w:link w:val="CommentSubject"/>
    <w:uiPriority w:val="99"/>
    <w:semiHidden/>
    <w:rsid w:val="004D181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D1814"/>
    <w:rPr>
      <w:b/>
      <w:bCs/>
    </w:rPr>
  </w:style>
  <w:style w:type="character" w:styleId="CommentReference">
    <w:name w:val="annotation reference"/>
    <w:basedOn w:val="DefaultParagraphFont"/>
    <w:uiPriority w:val="99"/>
    <w:semiHidden/>
    <w:unhideWhenUsed/>
    <w:rsid w:val="00856EF5"/>
    <w:rPr>
      <w:sz w:val="16"/>
      <w:szCs w:val="16"/>
    </w:rPr>
  </w:style>
  <w:style w:type="paragraph" w:customStyle="1" w:styleId="Default">
    <w:name w:val="Default"/>
    <w:rsid w:val="00856EF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B64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36"/>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rsid w:val="00E5032A"/>
    <w:pPr>
      <w:keepNext/>
      <w:keepLines/>
      <w:widowControl w:val="0"/>
      <w:suppressAutoHyphens/>
      <w:autoSpaceDN w:val="0"/>
      <w:spacing w:before="200"/>
      <w:textAlignment w:val="baseline"/>
      <w:outlineLvl w:val="2"/>
    </w:pPr>
    <w:rPr>
      <w:rFonts w:ascii="Cambria" w:hAnsi="Cambria" w:cs="Mangal"/>
      <w:b/>
      <w:bCs/>
      <w:color w:val="4F81BD"/>
      <w:kern w:val="3"/>
      <w:sz w:val="24"/>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32A"/>
    <w:rPr>
      <w:rFonts w:ascii="Cambria" w:eastAsia="Times New Roman" w:hAnsi="Cambria" w:cs="Mangal"/>
      <w:b/>
      <w:bCs/>
      <w:color w:val="4F81BD"/>
      <w:kern w:val="3"/>
      <w:sz w:val="24"/>
      <w:szCs w:val="21"/>
      <w:lang w:eastAsia="zh-CN" w:bidi="hi-IN"/>
    </w:rPr>
  </w:style>
  <w:style w:type="paragraph" w:styleId="BodyTextIndent">
    <w:name w:val="Body Text Indent"/>
    <w:basedOn w:val="Normal"/>
    <w:link w:val="BodyTextIndentChar"/>
    <w:rsid w:val="00142936"/>
    <w:pPr>
      <w:spacing w:after="120"/>
      <w:ind w:left="360"/>
    </w:pPr>
    <w:rPr>
      <w:sz w:val="24"/>
      <w:szCs w:val="24"/>
    </w:rPr>
  </w:style>
  <w:style w:type="character" w:customStyle="1" w:styleId="BodyTextIndentChar">
    <w:name w:val="Body Text Indent Char"/>
    <w:basedOn w:val="DefaultParagraphFont"/>
    <w:link w:val="BodyTextIndent"/>
    <w:rsid w:val="00142936"/>
    <w:rPr>
      <w:rFonts w:ascii="Times New Roman" w:eastAsia="Times New Roman" w:hAnsi="Times New Roman" w:cs="Times New Roman"/>
      <w:sz w:val="24"/>
      <w:szCs w:val="24"/>
    </w:rPr>
  </w:style>
  <w:style w:type="paragraph" w:customStyle="1" w:styleId="Char">
    <w:name w:val="Char"/>
    <w:basedOn w:val="Normal"/>
    <w:semiHidden/>
    <w:rsid w:val="00142936"/>
    <w:pPr>
      <w:spacing w:after="160" w:line="240" w:lineRule="exact"/>
    </w:pPr>
    <w:rPr>
      <w:rFonts w:ascii="Arial" w:hAnsi="Arial"/>
      <w:sz w:val="22"/>
      <w:szCs w:val="22"/>
    </w:rPr>
  </w:style>
  <w:style w:type="paragraph" w:styleId="NormalWeb">
    <w:name w:val="Normal (Web)"/>
    <w:basedOn w:val="Normal"/>
    <w:uiPriority w:val="99"/>
    <w:rsid w:val="00E5032A"/>
    <w:pPr>
      <w:autoSpaceDN w:val="0"/>
      <w:spacing w:before="100" w:after="100"/>
    </w:pPr>
    <w:rPr>
      <w:sz w:val="24"/>
      <w:szCs w:val="24"/>
    </w:rPr>
  </w:style>
  <w:style w:type="paragraph" w:customStyle="1" w:styleId="Textbody">
    <w:name w:val="Text body"/>
    <w:basedOn w:val="Normal"/>
    <w:rsid w:val="006F30AA"/>
    <w:pPr>
      <w:widowControl w:val="0"/>
      <w:suppressAutoHyphens/>
      <w:autoSpaceDN w:val="0"/>
      <w:spacing w:after="120"/>
      <w:textAlignment w:val="baseline"/>
    </w:pPr>
    <w:rPr>
      <w:rFonts w:eastAsia="Arial Unicode MS" w:cs="Mangal"/>
      <w:kern w:val="3"/>
      <w:sz w:val="24"/>
      <w:szCs w:val="24"/>
      <w:lang w:eastAsia="zh-CN" w:bidi="hi-IN"/>
    </w:rPr>
  </w:style>
  <w:style w:type="paragraph" w:styleId="Header">
    <w:name w:val="header"/>
    <w:basedOn w:val="Normal"/>
    <w:link w:val="HeaderChar"/>
    <w:uiPriority w:val="99"/>
    <w:unhideWhenUsed/>
    <w:rsid w:val="00F444A6"/>
    <w:pPr>
      <w:tabs>
        <w:tab w:val="center" w:pos="4680"/>
        <w:tab w:val="right" w:pos="9360"/>
      </w:tabs>
    </w:pPr>
  </w:style>
  <w:style w:type="character" w:customStyle="1" w:styleId="HeaderChar">
    <w:name w:val="Header Char"/>
    <w:basedOn w:val="DefaultParagraphFont"/>
    <w:link w:val="Header"/>
    <w:uiPriority w:val="99"/>
    <w:rsid w:val="00F444A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44A6"/>
    <w:pPr>
      <w:tabs>
        <w:tab w:val="center" w:pos="4680"/>
        <w:tab w:val="right" w:pos="9360"/>
      </w:tabs>
    </w:pPr>
  </w:style>
  <w:style w:type="character" w:customStyle="1" w:styleId="FooterChar">
    <w:name w:val="Footer Char"/>
    <w:basedOn w:val="DefaultParagraphFont"/>
    <w:link w:val="Footer"/>
    <w:uiPriority w:val="99"/>
    <w:rsid w:val="00F444A6"/>
    <w:rPr>
      <w:rFonts w:ascii="Times New Roman" w:eastAsia="Times New Roman" w:hAnsi="Times New Roman" w:cs="Times New Roman"/>
      <w:sz w:val="28"/>
      <w:szCs w:val="28"/>
    </w:rPr>
  </w:style>
  <w:style w:type="paragraph" w:styleId="ListParagraph">
    <w:name w:val="List Paragraph"/>
    <w:basedOn w:val="Normal"/>
    <w:uiPriority w:val="34"/>
    <w:qFormat/>
    <w:rsid w:val="00204239"/>
    <w:pPr>
      <w:ind w:left="720"/>
      <w:contextualSpacing/>
    </w:pPr>
  </w:style>
  <w:style w:type="paragraph" w:styleId="BalloonText">
    <w:name w:val="Balloon Text"/>
    <w:basedOn w:val="Normal"/>
    <w:link w:val="BalloonTextChar"/>
    <w:uiPriority w:val="99"/>
    <w:semiHidden/>
    <w:unhideWhenUsed/>
    <w:rsid w:val="00ED104C"/>
    <w:rPr>
      <w:rFonts w:ascii="Tahoma" w:hAnsi="Tahoma" w:cs="Tahoma"/>
      <w:sz w:val="16"/>
      <w:szCs w:val="16"/>
    </w:rPr>
  </w:style>
  <w:style w:type="character" w:customStyle="1" w:styleId="BalloonTextChar">
    <w:name w:val="Balloon Text Char"/>
    <w:basedOn w:val="DefaultParagraphFont"/>
    <w:link w:val="BalloonText"/>
    <w:uiPriority w:val="99"/>
    <w:semiHidden/>
    <w:rsid w:val="00ED104C"/>
    <w:rPr>
      <w:rFonts w:ascii="Tahoma" w:eastAsia="Times New Roman" w:hAnsi="Tahoma" w:cs="Tahoma"/>
      <w:sz w:val="16"/>
      <w:szCs w:val="16"/>
    </w:rPr>
  </w:style>
  <w:style w:type="character" w:customStyle="1" w:styleId="fontstyle01">
    <w:name w:val="fontstyle01"/>
    <w:basedOn w:val="DefaultParagraphFont"/>
    <w:rsid w:val="000B7D24"/>
    <w:rPr>
      <w:rFonts w:ascii="Helvetica" w:hAnsi="Helvetica" w:cs="Helvetica" w:hint="default"/>
      <w:b w:val="0"/>
      <w:bCs w:val="0"/>
      <w:i w:val="0"/>
      <w:iCs w:val="0"/>
      <w:color w:val="000000"/>
      <w:sz w:val="24"/>
      <w:szCs w:val="24"/>
    </w:rPr>
  </w:style>
  <w:style w:type="character" w:customStyle="1" w:styleId="CommentTextChar">
    <w:name w:val="Comment Text Char"/>
    <w:basedOn w:val="DefaultParagraphFont"/>
    <w:link w:val="CommentText"/>
    <w:uiPriority w:val="99"/>
    <w:semiHidden/>
    <w:rsid w:val="004D181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D1814"/>
    <w:rPr>
      <w:sz w:val="20"/>
      <w:szCs w:val="20"/>
    </w:rPr>
  </w:style>
  <w:style w:type="character" w:customStyle="1" w:styleId="CommentSubjectChar">
    <w:name w:val="Comment Subject Char"/>
    <w:basedOn w:val="CommentTextChar"/>
    <w:link w:val="CommentSubject"/>
    <w:uiPriority w:val="99"/>
    <w:semiHidden/>
    <w:rsid w:val="004D181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D1814"/>
    <w:rPr>
      <w:b/>
      <w:bCs/>
    </w:rPr>
  </w:style>
  <w:style w:type="character" w:styleId="CommentReference">
    <w:name w:val="annotation reference"/>
    <w:basedOn w:val="DefaultParagraphFont"/>
    <w:uiPriority w:val="99"/>
    <w:semiHidden/>
    <w:unhideWhenUsed/>
    <w:rsid w:val="00856EF5"/>
    <w:rPr>
      <w:sz w:val="16"/>
      <w:szCs w:val="16"/>
    </w:rPr>
  </w:style>
  <w:style w:type="paragraph" w:customStyle="1" w:styleId="Default">
    <w:name w:val="Default"/>
    <w:rsid w:val="00856EF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B64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366">
      <w:bodyDiv w:val="1"/>
      <w:marLeft w:val="0"/>
      <w:marRight w:val="0"/>
      <w:marTop w:val="0"/>
      <w:marBottom w:val="0"/>
      <w:divBdr>
        <w:top w:val="none" w:sz="0" w:space="0" w:color="auto"/>
        <w:left w:val="none" w:sz="0" w:space="0" w:color="auto"/>
        <w:bottom w:val="none" w:sz="0" w:space="0" w:color="auto"/>
        <w:right w:val="none" w:sz="0" w:space="0" w:color="auto"/>
      </w:divBdr>
    </w:div>
    <w:div w:id="390080505">
      <w:bodyDiv w:val="1"/>
      <w:marLeft w:val="0"/>
      <w:marRight w:val="0"/>
      <w:marTop w:val="0"/>
      <w:marBottom w:val="0"/>
      <w:divBdr>
        <w:top w:val="none" w:sz="0" w:space="0" w:color="auto"/>
        <w:left w:val="none" w:sz="0" w:space="0" w:color="auto"/>
        <w:bottom w:val="none" w:sz="0" w:space="0" w:color="auto"/>
        <w:right w:val="none" w:sz="0" w:space="0" w:color="auto"/>
      </w:divBdr>
    </w:div>
    <w:div w:id="498085875">
      <w:bodyDiv w:val="1"/>
      <w:marLeft w:val="0"/>
      <w:marRight w:val="0"/>
      <w:marTop w:val="0"/>
      <w:marBottom w:val="0"/>
      <w:divBdr>
        <w:top w:val="none" w:sz="0" w:space="0" w:color="auto"/>
        <w:left w:val="none" w:sz="0" w:space="0" w:color="auto"/>
        <w:bottom w:val="none" w:sz="0" w:space="0" w:color="auto"/>
        <w:right w:val="none" w:sz="0" w:space="0" w:color="auto"/>
      </w:divBdr>
    </w:div>
    <w:div w:id="1076705421">
      <w:bodyDiv w:val="1"/>
      <w:marLeft w:val="0"/>
      <w:marRight w:val="0"/>
      <w:marTop w:val="0"/>
      <w:marBottom w:val="0"/>
      <w:divBdr>
        <w:top w:val="none" w:sz="0" w:space="0" w:color="auto"/>
        <w:left w:val="none" w:sz="0" w:space="0" w:color="auto"/>
        <w:bottom w:val="none" w:sz="0" w:space="0" w:color="auto"/>
        <w:right w:val="none" w:sz="0" w:space="0" w:color="auto"/>
      </w:divBdr>
    </w:div>
    <w:div w:id="1448817713">
      <w:bodyDiv w:val="1"/>
      <w:marLeft w:val="0"/>
      <w:marRight w:val="0"/>
      <w:marTop w:val="0"/>
      <w:marBottom w:val="0"/>
      <w:divBdr>
        <w:top w:val="none" w:sz="0" w:space="0" w:color="auto"/>
        <w:left w:val="none" w:sz="0" w:space="0" w:color="auto"/>
        <w:bottom w:val="none" w:sz="0" w:space="0" w:color="auto"/>
        <w:right w:val="none" w:sz="0" w:space="0" w:color="auto"/>
      </w:divBdr>
    </w:div>
    <w:div w:id="1858738063">
      <w:bodyDiv w:val="1"/>
      <w:marLeft w:val="0"/>
      <w:marRight w:val="0"/>
      <w:marTop w:val="0"/>
      <w:marBottom w:val="0"/>
      <w:divBdr>
        <w:top w:val="none" w:sz="0" w:space="0" w:color="auto"/>
        <w:left w:val="none" w:sz="0" w:space="0" w:color="auto"/>
        <w:bottom w:val="none" w:sz="0" w:space="0" w:color="auto"/>
        <w:right w:val="none" w:sz="0" w:space="0" w:color="auto"/>
      </w:divBdr>
    </w:div>
    <w:div w:id="1866748391">
      <w:bodyDiv w:val="1"/>
      <w:marLeft w:val="0"/>
      <w:marRight w:val="0"/>
      <w:marTop w:val="0"/>
      <w:marBottom w:val="0"/>
      <w:divBdr>
        <w:top w:val="none" w:sz="0" w:space="0" w:color="auto"/>
        <w:left w:val="none" w:sz="0" w:space="0" w:color="auto"/>
        <w:bottom w:val="none" w:sz="0" w:space="0" w:color="auto"/>
        <w:right w:val="none" w:sz="0" w:space="0" w:color="auto"/>
      </w:divBdr>
    </w:div>
    <w:div w:id="19887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E9E1-A66F-42D5-80EC-4E10D414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Thi Minh Tam</cp:lastModifiedBy>
  <cp:revision>14</cp:revision>
  <cp:lastPrinted>2021-11-19T07:35:00Z</cp:lastPrinted>
  <dcterms:created xsi:type="dcterms:W3CDTF">2023-07-16T11:08:00Z</dcterms:created>
  <dcterms:modified xsi:type="dcterms:W3CDTF">2023-07-21T07:09:00Z</dcterms:modified>
</cp:coreProperties>
</file>